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53D1211B" w:rsidR="00E27274" w:rsidRPr="00B651AC" w:rsidRDefault="0061745C"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 w:val="24"/>
          <w:szCs w:val="24"/>
        </w:rPr>
      </w:pPr>
      <w:r w:rsidRPr="00B651AC">
        <w:rPr>
          <w:rFonts w:asciiTheme="minorHAnsi" w:hAnsiTheme="minorHAnsi" w:cstheme="minorHAnsi"/>
          <w:noProof/>
          <w:sz w:val="24"/>
          <w:szCs w:val="22"/>
        </w:rPr>
        <w:drawing>
          <wp:anchor distT="0" distB="0" distL="114300" distR="114300" simplePos="0" relativeHeight="251660291" behindDoc="0" locked="0" layoutInCell="1" allowOverlap="1" wp14:anchorId="227348FC" wp14:editId="53021202">
            <wp:simplePos x="0" y="0"/>
            <wp:positionH relativeFrom="column">
              <wp:posOffset>-80645</wp:posOffset>
            </wp:positionH>
            <wp:positionV relativeFrom="paragraph">
              <wp:posOffset>-391160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sidRPr="00B651AC">
        <w:rPr>
          <w:rFonts w:asciiTheme="minorHAnsi" w:hAnsiTheme="minorHAnsi" w:cstheme="minorHAnsi"/>
          <w:noProof/>
          <w:kern w:val="20"/>
          <w:sz w:val="24"/>
          <w:szCs w:val="22"/>
        </w:rPr>
        <mc:AlternateContent>
          <mc:Choice Requires="wps">
            <w:drawing>
              <wp:anchor distT="0" distB="0" distL="114300" distR="114300" simplePos="0" relativeHeight="251658240" behindDoc="0" locked="0" layoutInCell="1" allowOverlap="1" wp14:anchorId="06CF2872" wp14:editId="4C3C74D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537E0A45"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8E041A">
                              <w:rPr>
                                <w:rFonts w:ascii="Lucida Sans Unicode" w:hAnsi="Lucida Sans Unicode" w:cs="Lucida Sans Unicode"/>
                                <w:i/>
                                <w:color w:val="C0504D" w:themeColor="accent2"/>
                                <w:kern w:val="20"/>
                                <w:sz w:val="18"/>
                                <w:szCs w:val="18"/>
                              </w:rPr>
                              <w:t>octobre</w:t>
                            </w:r>
                            <w:bookmarkStart w:id="0" w:name="_GoBack"/>
                            <w:bookmarkEnd w:id="0"/>
                            <w:r w:rsidR="003859D4">
                              <w:rPr>
                                <w:rFonts w:ascii="Lucida Sans Unicode" w:hAnsi="Lucida Sans Unicode" w:cs="Lucida Sans Unicode"/>
                                <w:i/>
                                <w:color w:val="C0504D" w:themeColor="accent2"/>
                                <w:kern w:val="20"/>
                                <w:sz w:val="18"/>
                                <w:szCs w:val="18"/>
                              </w:rPr>
                              <w:t xml:space="preserve"> 2024</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537E0A45"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8E041A">
                        <w:rPr>
                          <w:rFonts w:ascii="Lucida Sans Unicode" w:hAnsi="Lucida Sans Unicode" w:cs="Lucida Sans Unicode"/>
                          <w:i/>
                          <w:color w:val="C0504D" w:themeColor="accent2"/>
                          <w:kern w:val="20"/>
                          <w:sz w:val="18"/>
                          <w:szCs w:val="18"/>
                        </w:rPr>
                        <w:t>octobre</w:t>
                      </w:r>
                      <w:bookmarkStart w:id="1" w:name="_GoBack"/>
                      <w:bookmarkEnd w:id="1"/>
                      <w:r w:rsidR="003859D4">
                        <w:rPr>
                          <w:rFonts w:ascii="Lucida Sans Unicode" w:hAnsi="Lucida Sans Unicode" w:cs="Lucida Sans Unicode"/>
                          <w:i/>
                          <w:color w:val="C0504D" w:themeColor="accent2"/>
                          <w:kern w:val="20"/>
                          <w:sz w:val="18"/>
                          <w:szCs w:val="18"/>
                        </w:rPr>
                        <w:t xml:space="preserve"> 2024</w:t>
                      </w:r>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B651AC">
        <w:rPr>
          <w:rFonts w:asciiTheme="minorHAnsi" w:hAnsiTheme="minorHAnsi" w:cstheme="minorHAnsi"/>
          <w:kern w:val="20"/>
          <w:sz w:val="24"/>
          <w:szCs w:val="22"/>
        </w:rPr>
        <w:t>D</w:t>
      </w:r>
      <w:r w:rsidR="000617BC" w:rsidRPr="00B651AC">
        <w:rPr>
          <w:rFonts w:asciiTheme="minorHAnsi" w:hAnsiTheme="minorHAnsi" w:cstheme="minorHAnsi"/>
          <w:kern w:val="20"/>
          <w:sz w:val="24"/>
          <w:szCs w:val="24"/>
        </w:rPr>
        <w:t>ELIBERATION</w:t>
      </w:r>
      <w:r w:rsidR="00A937FE" w:rsidRPr="00B651AC">
        <w:rPr>
          <w:rFonts w:asciiTheme="minorHAnsi" w:hAnsiTheme="minorHAnsi" w:cstheme="minorHAnsi"/>
          <w:kern w:val="20"/>
          <w:sz w:val="24"/>
          <w:szCs w:val="24"/>
        </w:rPr>
        <w:t xml:space="preserve"> </w:t>
      </w:r>
      <w:r w:rsidR="00961093" w:rsidRPr="00B651AC">
        <w:rPr>
          <w:rFonts w:asciiTheme="minorHAnsi" w:hAnsiTheme="minorHAnsi" w:cstheme="minorHAnsi"/>
          <w:kern w:val="20"/>
          <w:sz w:val="24"/>
          <w:szCs w:val="24"/>
        </w:rPr>
        <w:t>N</w:t>
      </w:r>
      <w:r w:rsidR="000E0521" w:rsidRPr="00B651AC">
        <w:rPr>
          <w:rFonts w:asciiTheme="minorHAnsi" w:hAnsiTheme="minorHAnsi" w:cstheme="minorHAnsi"/>
          <w:kern w:val="20"/>
          <w:sz w:val="24"/>
          <w:szCs w:val="24"/>
        </w:rPr>
        <w:t>°</w:t>
      </w:r>
      <w:r w:rsidR="000E0521" w:rsidRPr="00B651AC">
        <w:rPr>
          <w:rFonts w:asciiTheme="minorHAnsi" w:hAnsiTheme="minorHAnsi" w:cstheme="minorHAnsi"/>
          <w:b/>
          <w:kern w:val="20"/>
          <w:sz w:val="24"/>
          <w:szCs w:val="24"/>
        </w:rPr>
        <w:t xml:space="preserve"> </w:t>
      </w:r>
      <w:r w:rsidR="000E0521" w:rsidRPr="00B651AC">
        <w:rPr>
          <w:rFonts w:asciiTheme="minorHAnsi" w:eastAsia="Calibri" w:hAnsiTheme="minorHAnsi" w:cstheme="minorHAnsi"/>
          <w:color w:val="1F497D" w:themeColor="text2"/>
          <w:kern w:val="20"/>
          <w:sz w:val="24"/>
          <w:szCs w:val="24"/>
        </w:rPr>
        <w:t>………………………………………</w:t>
      </w:r>
    </w:p>
    <w:p w14:paraId="06CF2821" w14:textId="77777777" w:rsidR="00E27274" w:rsidRPr="00B651AC" w:rsidRDefault="00E27274"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401E041B" w:rsidR="003A3073" w:rsidRPr="00B651AC" w:rsidRDefault="005B4919" w:rsidP="005B4919">
      <w:pPr>
        <w:pBdr>
          <w:top w:val="single" w:sz="4" w:space="1" w:color="auto"/>
          <w:left w:val="single" w:sz="4" w:space="23" w:color="auto"/>
          <w:bottom w:val="single" w:sz="4" w:space="1" w:color="auto"/>
          <w:right w:val="single" w:sz="4" w:space="4" w:color="auto"/>
        </w:pBdr>
        <w:spacing w:after="0"/>
        <w:ind w:left="4536"/>
        <w:jc w:val="left"/>
        <w:rPr>
          <w:rFonts w:asciiTheme="minorHAnsi" w:hAnsiTheme="minorHAnsi" w:cstheme="minorHAnsi"/>
          <w:b/>
          <w:kern w:val="20"/>
          <w:sz w:val="24"/>
          <w:szCs w:val="24"/>
        </w:rPr>
      </w:pPr>
      <w:r w:rsidRPr="00B651AC">
        <w:rPr>
          <w:rFonts w:asciiTheme="minorHAnsi" w:hAnsiTheme="minorHAnsi" w:cstheme="minorHAnsi"/>
          <w:b/>
          <w:kern w:val="20"/>
          <w:sz w:val="24"/>
          <w:szCs w:val="24"/>
        </w:rPr>
        <w:t>INSTAURANT L’INDEMNITE SPECIALE DE FONCTION ET D’ENGAGEMENT</w:t>
      </w:r>
      <w:r w:rsidR="00DD6EA9" w:rsidRPr="00B651AC">
        <w:rPr>
          <w:rFonts w:asciiTheme="minorHAnsi" w:hAnsiTheme="minorHAnsi" w:cstheme="minorHAnsi"/>
          <w:b/>
          <w:kern w:val="20"/>
          <w:sz w:val="24"/>
          <w:szCs w:val="24"/>
        </w:rPr>
        <w:t xml:space="preserve"> (ISFE)</w:t>
      </w:r>
    </w:p>
    <w:p w14:paraId="595C8EC0" w14:textId="11070445" w:rsidR="00B0585E" w:rsidRPr="005B4919" w:rsidRDefault="00B0585E"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2"/>
          <w:u w:val="single"/>
        </w:rPr>
      </w:pPr>
    </w:p>
    <w:p w14:paraId="723A856B" w14:textId="580E955C" w:rsidR="003D1BC0" w:rsidRDefault="003D1BC0" w:rsidP="00A448C7">
      <w:pPr>
        <w:spacing w:after="0"/>
        <w:outlineLvl w:val="0"/>
        <w:rPr>
          <w:rFonts w:asciiTheme="minorHAnsi" w:hAnsiTheme="minorHAnsi" w:cstheme="minorHAnsi"/>
          <w:kern w:val="20"/>
          <w:sz w:val="12"/>
          <w:szCs w:val="12"/>
        </w:rPr>
      </w:pPr>
    </w:p>
    <w:p w14:paraId="4284BCD8" w14:textId="794D7CD0" w:rsidR="00526CDA" w:rsidRDefault="00526CDA" w:rsidP="00A448C7">
      <w:pPr>
        <w:spacing w:after="0"/>
        <w:outlineLvl w:val="0"/>
        <w:rPr>
          <w:rFonts w:asciiTheme="minorHAnsi" w:hAnsiTheme="minorHAnsi" w:cstheme="minorHAnsi"/>
          <w:kern w:val="20"/>
          <w:sz w:val="12"/>
          <w:szCs w:val="12"/>
        </w:rPr>
      </w:pPr>
    </w:p>
    <w:p w14:paraId="2CBA294E" w14:textId="6A3B72A4" w:rsidR="00526CDA" w:rsidRDefault="00526CDA" w:rsidP="00A448C7">
      <w:pPr>
        <w:spacing w:after="0"/>
        <w:outlineLvl w:val="0"/>
        <w:rPr>
          <w:rFonts w:asciiTheme="minorHAnsi" w:hAnsiTheme="minorHAnsi" w:cstheme="minorHAnsi"/>
          <w:kern w:val="20"/>
          <w:sz w:val="12"/>
          <w:szCs w:val="12"/>
        </w:rPr>
      </w:pPr>
      <w:r>
        <w:rPr>
          <w:rFonts w:asciiTheme="minorHAnsi" w:eastAsia="Calibri" w:hAnsiTheme="minorHAnsi" w:cstheme="minorHAnsi"/>
          <w:b/>
          <w:smallCaps/>
          <w:noProof/>
          <w:color w:val="1F497D" w:themeColor="text2"/>
          <w:kern w:val="20"/>
          <w:sz w:val="18"/>
          <w:szCs w:val="22"/>
        </w:rPr>
        <mc:AlternateContent>
          <mc:Choice Requires="wps">
            <w:drawing>
              <wp:anchor distT="0" distB="0" distL="114300" distR="114300" simplePos="0" relativeHeight="251664387" behindDoc="0" locked="0" layoutInCell="1" allowOverlap="1" wp14:anchorId="4A1A9580" wp14:editId="05A9F2FF">
                <wp:simplePos x="0" y="0"/>
                <wp:positionH relativeFrom="margin">
                  <wp:align>left</wp:align>
                </wp:positionH>
                <wp:positionV relativeFrom="paragraph">
                  <wp:posOffset>13335</wp:posOffset>
                </wp:positionV>
                <wp:extent cx="2126615" cy="508000"/>
                <wp:effectExtent l="0" t="0" r="6985"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A9580" id="AutoShape 2" o:spid="_x0000_s1027" style="position:absolute;left:0;text-align:left;margin-left:0;margin-top:1.05pt;width:167.45pt;height:40pt;z-index:2516643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B/tQIAAHE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" fillcolor="#f2dbdb [661]" stroked="f">
                <v:textbo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w10:wrap anchorx="margin"/>
              </v:roundrect>
            </w:pict>
          </mc:Fallback>
        </mc:AlternateContent>
      </w:r>
    </w:p>
    <w:p w14:paraId="52A7B3A5" w14:textId="2F060D60" w:rsidR="00526CDA" w:rsidRDefault="00526CDA" w:rsidP="00A448C7">
      <w:pPr>
        <w:spacing w:after="0"/>
        <w:outlineLvl w:val="0"/>
        <w:rPr>
          <w:rFonts w:asciiTheme="minorHAnsi" w:hAnsiTheme="minorHAnsi" w:cstheme="minorHAnsi"/>
          <w:kern w:val="20"/>
          <w:sz w:val="12"/>
          <w:szCs w:val="12"/>
        </w:rPr>
      </w:pPr>
    </w:p>
    <w:p w14:paraId="163BD75F" w14:textId="63DBC5F3" w:rsidR="00526CDA" w:rsidRDefault="00526CDA" w:rsidP="00A448C7">
      <w:pPr>
        <w:spacing w:after="0"/>
        <w:outlineLvl w:val="0"/>
        <w:rPr>
          <w:rFonts w:asciiTheme="minorHAnsi" w:hAnsiTheme="minorHAnsi" w:cstheme="minorHAnsi"/>
          <w:kern w:val="20"/>
          <w:sz w:val="12"/>
          <w:szCs w:val="12"/>
        </w:rPr>
      </w:pPr>
    </w:p>
    <w:p w14:paraId="0145E6A7" w14:textId="5698C67D" w:rsidR="00526CDA" w:rsidRDefault="00526CDA" w:rsidP="00A448C7">
      <w:pPr>
        <w:spacing w:after="0"/>
        <w:outlineLvl w:val="0"/>
        <w:rPr>
          <w:rFonts w:asciiTheme="minorHAnsi" w:hAnsiTheme="minorHAnsi" w:cstheme="minorHAnsi"/>
          <w:kern w:val="20"/>
          <w:sz w:val="12"/>
          <w:szCs w:val="12"/>
        </w:rPr>
      </w:pPr>
    </w:p>
    <w:p w14:paraId="3E038EF0" w14:textId="77777777" w:rsidR="00526CDA" w:rsidRDefault="00526CDA" w:rsidP="00A448C7">
      <w:pPr>
        <w:spacing w:after="0"/>
        <w:outlineLvl w:val="0"/>
        <w:rPr>
          <w:rFonts w:asciiTheme="minorHAnsi" w:hAnsiTheme="minorHAnsi" w:cstheme="minorHAnsi"/>
          <w:kern w:val="20"/>
          <w:sz w:val="12"/>
          <w:szCs w:val="12"/>
        </w:rPr>
      </w:pPr>
    </w:p>
    <w:p w14:paraId="250FD1A9" w14:textId="6EBDEFDF" w:rsidR="00526CDA" w:rsidRDefault="00526CDA" w:rsidP="00A448C7">
      <w:pPr>
        <w:spacing w:after="0"/>
        <w:outlineLvl w:val="0"/>
        <w:rPr>
          <w:rFonts w:asciiTheme="minorHAnsi" w:hAnsiTheme="minorHAnsi" w:cstheme="minorHAnsi"/>
          <w:kern w:val="20"/>
          <w:sz w:val="12"/>
          <w:szCs w:val="12"/>
        </w:rPr>
      </w:pPr>
    </w:p>
    <w:p w14:paraId="07A8275D" w14:textId="49D4227A" w:rsidR="00526CDA" w:rsidRDefault="00526CDA" w:rsidP="00A448C7">
      <w:pPr>
        <w:spacing w:after="0"/>
        <w:outlineLvl w:val="0"/>
        <w:rPr>
          <w:rFonts w:asciiTheme="minorHAnsi" w:hAnsiTheme="minorHAnsi" w:cstheme="minorHAnsi"/>
          <w:kern w:val="20"/>
          <w:sz w:val="12"/>
          <w:szCs w:val="12"/>
        </w:rPr>
      </w:pPr>
      <w:r>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089A5626" wp14:editId="0B8D98DB">
                <wp:simplePos x="0" y="0"/>
                <wp:positionH relativeFrom="margin">
                  <wp:align>left</wp:align>
                </wp:positionH>
                <wp:positionV relativeFrom="paragraph">
                  <wp:posOffset>95250</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5626" id="AutoShape 25" o:spid="_x0000_s1028" style="position:absolute;left:0;text-align:left;margin-left:0;margin-top:7.5pt;width:466.6pt;height:73.8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" fillcolor="#dbe5f1 [660]" stroked="f" strokecolor="#002060">
                <v:textbo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3D0F4376" w14:textId="58ECBBAE" w:rsidR="00526CDA" w:rsidRDefault="00526CDA" w:rsidP="00A448C7">
      <w:pPr>
        <w:spacing w:after="0"/>
        <w:outlineLvl w:val="0"/>
        <w:rPr>
          <w:rFonts w:asciiTheme="minorHAnsi" w:hAnsiTheme="minorHAnsi" w:cstheme="minorHAnsi"/>
          <w:kern w:val="20"/>
          <w:sz w:val="12"/>
          <w:szCs w:val="12"/>
        </w:rPr>
      </w:pPr>
    </w:p>
    <w:p w14:paraId="09EE0633" w14:textId="77777777" w:rsidR="00526CDA" w:rsidRPr="005B4919" w:rsidRDefault="00526CDA" w:rsidP="00A448C7">
      <w:pPr>
        <w:spacing w:after="0"/>
        <w:outlineLvl w:val="0"/>
        <w:rPr>
          <w:rFonts w:asciiTheme="minorHAnsi" w:hAnsiTheme="minorHAnsi" w:cstheme="minorHAnsi"/>
          <w:kern w:val="20"/>
          <w:sz w:val="12"/>
          <w:szCs w:val="12"/>
        </w:rPr>
      </w:pPr>
    </w:p>
    <w:p w14:paraId="333E74B9" w14:textId="77777777" w:rsidR="005B4919" w:rsidRDefault="005B4919" w:rsidP="00E34EBD">
      <w:pPr>
        <w:spacing w:after="0"/>
        <w:rPr>
          <w:rFonts w:asciiTheme="minorHAnsi" w:hAnsiTheme="minorHAnsi" w:cstheme="minorHAnsi"/>
          <w:color w:val="1F497D" w:themeColor="text2"/>
          <w:kern w:val="20"/>
          <w:sz w:val="24"/>
          <w:szCs w:val="22"/>
        </w:rPr>
      </w:pPr>
      <w:bookmarkStart w:id="2" w:name="_Hlk90889697"/>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Code général de la fonction publique, notamment ses articles L. 714-4 à L. 714-13,</w:t>
      </w:r>
    </w:p>
    <w:p w14:paraId="7E10A596" w14:textId="77777777" w:rsidR="005B4919" w:rsidRDefault="005B4919" w:rsidP="00E34EBD">
      <w:pPr>
        <w:spacing w:after="0"/>
        <w:rPr>
          <w:rFonts w:asciiTheme="minorHAnsi" w:hAnsiTheme="minorHAnsi" w:cstheme="minorHAnsi"/>
          <w:b/>
          <w:color w:val="1F497D" w:themeColor="text2"/>
          <w:kern w:val="20"/>
          <w:sz w:val="24"/>
          <w:szCs w:val="22"/>
        </w:rPr>
      </w:pPr>
    </w:p>
    <w:p w14:paraId="5FAD572A" w14:textId="77777777" w:rsidR="005B4919" w:rsidRDefault="005B4919" w:rsidP="00E34EBD">
      <w:pPr>
        <w:spacing w:after="0"/>
        <w:rPr>
          <w:rFonts w:asciiTheme="minorHAnsi" w:hAnsiTheme="minorHAnsi" w:cstheme="minorHAnsi"/>
          <w:color w:val="1F497D" w:themeColor="text2"/>
          <w:kern w:val="20"/>
          <w:sz w:val="24"/>
          <w:szCs w:val="22"/>
        </w:rPr>
      </w:pPr>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décret n° 2024-614 du 26 juin 2024 relatif au régime indemnitaire des fonctionnaires relevant des cadres d’emplois de la police municipale et des fonctionnaires relevant du cadre d’emplois des gardes champêtres,</w:t>
      </w:r>
    </w:p>
    <w:bookmarkEnd w:id="2"/>
    <w:p w14:paraId="24A1A937" w14:textId="77777777" w:rsidR="006154B9" w:rsidRPr="005B4919" w:rsidRDefault="006154B9" w:rsidP="006154B9">
      <w:pPr>
        <w:outlineLvl w:val="0"/>
        <w:rPr>
          <w:rFonts w:asciiTheme="minorHAnsi" w:hAnsiTheme="minorHAnsi" w:cstheme="minorHAnsi"/>
          <w:kern w:val="20"/>
          <w:sz w:val="24"/>
          <w:szCs w:val="24"/>
        </w:rPr>
      </w:pPr>
    </w:p>
    <w:p w14:paraId="5F86748F" w14:textId="5C9963B7" w:rsidR="00C822AF" w:rsidRPr="005B4919" w:rsidRDefault="002670C7" w:rsidP="006154B9">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sidR="00AA3397">
        <w:rPr>
          <w:rFonts w:asciiTheme="minorHAnsi" w:hAnsiTheme="minorHAnsi" w:cstheme="minorHAnsi"/>
          <w:kern w:val="20"/>
          <w:sz w:val="24"/>
          <w:szCs w:val="24"/>
        </w:rPr>
        <w:t>s</w:t>
      </w:r>
      <w:r w:rsidR="004B0F32" w:rsidRPr="005B4919">
        <w:rPr>
          <w:rFonts w:asciiTheme="minorHAnsi" w:hAnsiTheme="minorHAnsi" w:cstheme="minorHAnsi"/>
          <w:kern w:val="20"/>
          <w:sz w:val="24"/>
          <w:szCs w:val="24"/>
        </w:rPr>
        <w:t xml:space="preserve">ocial </w:t>
      </w:r>
      <w:r w:rsidR="00AA3397">
        <w:rPr>
          <w:rFonts w:asciiTheme="minorHAnsi" w:hAnsiTheme="minorHAnsi" w:cstheme="minorHAnsi"/>
          <w:kern w:val="20"/>
          <w:sz w:val="24"/>
          <w:szCs w:val="24"/>
        </w:rPr>
        <w:t>t</w:t>
      </w:r>
      <w:r w:rsidR="004B0F32" w:rsidRPr="005B4919">
        <w:rPr>
          <w:rFonts w:asciiTheme="minorHAnsi" w:hAnsiTheme="minorHAnsi" w:cstheme="minorHAnsi"/>
          <w:kern w:val="20"/>
          <w:sz w:val="24"/>
          <w:szCs w:val="24"/>
        </w:rPr>
        <w:t xml:space="preserve">erritorial </w:t>
      </w:r>
      <w:r w:rsidRPr="005B4919">
        <w:rPr>
          <w:rFonts w:asciiTheme="minorHAnsi" w:hAnsiTheme="minorHAnsi" w:cstheme="minorHAnsi"/>
          <w:kern w:val="20"/>
          <w:sz w:val="24"/>
          <w:szCs w:val="24"/>
        </w:rPr>
        <w:t xml:space="preserve">en date du </w:t>
      </w:r>
      <w:r w:rsidR="005B4919"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3AD23E44" w14:textId="77777777" w:rsidR="00DB5507" w:rsidRPr="005B4919" w:rsidRDefault="00DB5507" w:rsidP="006154B9">
      <w:pPr>
        <w:outlineLvl w:val="0"/>
        <w:rPr>
          <w:rFonts w:asciiTheme="minorHAnsi" w:hAnsiTheme="minorHAnsi" w:cstheme="minorHAnsi"/>
          <w:kern w:val="20"/>
          <w:sz w:val="24"/>
          <w:szCs w:val="24"/>
        </w:rPr>
      </w:pPr>
    </w:p>
    <w:p w14:paraId="52AD2016" w14:textId="661EDE9B" w:rsidR="00A82D77" w:rsidRPr="005B4919" w:rsidRDefault="00A82D77" w:rsidP="00A448C7">
      <w:pPr>
        <w:spacing w:after="0"/>
        <w:outlineLvl w:val="0"/>
        <w:rPr>
          <w:rFonts w:asciiTheme="minorHAnsi" w:hAnsiTheme="minorHAnsi" w:cstheme="minorHAnsi"/>
          <w:b/>
          <w:kern w:val="20"/>
          <w:sz w:val="24"/>
          <w:szCs w:val="24"/>
        </w:rPr>
      </w:pPr>
      <w:r w:rsidRPr="005B4919">
        <w:rPr>
          <w:rFonts w:asciiTheme="minorHAnsi" w:hAnsiTheme="minorHAnsi" w:cstheme="minorHAnsi"/>
          <w:b/>
          <w:kern w:val="20"/>
          <w:sz w:val="24"/>
          <w:szCs w:val="24"/>
        </w:rPr>
        <w:t>Considérant ce qui suit :</w:t>
      </w:r>
    </w:p>
    <w:p w14:paraId="2962B149" w14:textId="04B6DFCB" w:rsidR="006154B9" w:rsidRDefault="006154B9" w:rsidP="006154B9">
      <w:pPr>
        <w:spacing w:after="0"/>
        <w:outlineLvl w:val="0"/>
        <w:rPr>
          <w:rFonts w:asciiTheme="minorHAnsi" w:hAnsiTheme="minorHAnsi" w:cstheme="minorHAnsi"/>
          <w:kern w:val="20"/>
          <w:sz w:val="24"/>
          <w:szCs w:val="24"/>
        </w:rPr>
      </w:pPr>
    </w:p>
    <w:p w14:paraId="76B4340D" w14:textId="1106E62B" w:rsidR="005B4919" w:rsidRDefault="005B4919" w:rsidP="006154B9">
      <w:pPr>
        <w:spacing w:after="0"/>
        <w:outlineLvl w:val="0"/>
        <w:rPr>
          <w:rFonts w:asciiTheme="minorHAnsi" w:hAnsiTheme="minorHAnsi" w:cstheme="minorHAnsi"/>
          <w:kern w:val="20"/>
          <w:sz w:val="24"/>
          <w:szCs w:val="24"/>
        </w:rPr>
      </w:pPr>
      <w:r>
        <w:rPr>
          <w:rFonts w:asciiTheme="minorHAnsi" w:hAnsiTheme="minorHAnsi" w:cstheme="minorHAnsi"/>
          <w:kern w:val="20"/>
          <w:sz w:val="24"/>
          <w:szCs w:val="24"/>
        </w:rPr>
        <w:t xml:space="preserve">Les fonctionnaires relevant des cadres d’emplois des directeurs de police municipale, chefs de service de police municipale, agents de police municipale et gardes champêtres peuvent, </w:t>
      </w:r>
      <w:r w:rsidR="00AA3397">
        <w:rPr>
          <w:rFonts w:asciiTheme="minorHAnsi" w:hAnsiTheme="minorHAnsi" w:cstheme="minorHAnsi"/>
          <w:kern w:val="20"/>
          <w:sz w:val="24"/>
          <w:szCs w:val="24"/>
        </w:rPr>
        <w:t>depuis le</w:t>
      </w:r>
      <w:r>
        <w:rPr>
          <w:rFonts w:asciiTheme="minorHAnsi" w:hAnsiTheme="minorHAnsi" w:cstheme="minorHAnsi"/>
          <w:kern w:val="20"/>
          <w:sz w:val="24"/>
          <w:szCs w:val="24"/>
        </w:rPr>
        <w:t xml:space="preserve"> 29 juin 2024, bénéficier d’une indemnité spéciale de fonction et d’engagement (ISFE). Dans chaque collectivité et établissement public, l’octroi de cette indemnité est subordonné à une délibération, après avis du CST.</w:t>
      </w:r>
    </w:p>
    <w:p w14:paraId="45023447" w14:textId="009C61F0" w:rsidR="005B4919" w:rsidRDefault="005B4919" w:rsidP="006154B9">
      <w:pPr>
        <w:spacing w:after="0"/>
        <w:outlineLvl w:val="0"/>
        <w:rPr>
          <w:rFonts w:asciiTheme="minorHAnsi" w:hAnsiTheme="minorHAnsi" w:cstheme="minorHAnsi"/>
          <w:kern w:val="20"/>
          <w:sz w:val="24"/>
          <w:szCs w:val="24"/>
        </w:rPr>
      </w:pPr>
    </w:p>
    <w:p w14:paraId="0A65D502" w14:textId="55CE4BED" w:rsidR="005B4919" w:rsidRPr="005B4919" w:rsidRDefault="005B4919" w:rsidP="006154B9">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Pour rappel, ces agents bénéficient d’un régime indemnitaire spécifique et ne relèvent ainsi pas du RIFSEEP.  Ils peuvent, à défaut, bénéficier d’une indemnité d’administration et de technicité (IAT) ainsi que l’indemnité spéciale mensuelle de fonction (ISMF). Ces deux indemnités étant abrogées au 1</w:t>
      </w:r>
      <w:r w:rsidRPr="005B4919">
        <w:rPr>
          <w:rFonts w:asciiTheme="minorHAnsi" w:hAnsiTheme="minorHAnsi" w:cstheme="minorHAnsi"/>
          <w:kern w:val="20"/>
          <w:sz w:val="24"/>
          <w:szCs w:val="24"/>
          <w:vertAlign w:val="superscript"/>
        </w:rPr>
        <w:t>er</w:t>
      </w:r>
      <w:r w:rsidRPr="005B4919">
        <w:rPr>
          <w:rFonts w:asciiTheme="minorHAnsi" w:hAnsiTheme="minorHAnsi" w:cstheme="minorHAnsi"/>
          <w:kern w:val="20"/>
          <w:sz w:val="24"/>
          <w:szCs w:val="24"/>
        </w:rPr>
        <w:t xml:space="preserve"> janvier 2025, il convient de délibérer afin d’instaurer l’ISFE, </w:t>
      </w:r>
      <w:r w:rsidRPr="005B4919">
        <w:rPr>
          <w:rFonts w:asciiTheme="minorHAnsi" w:eastAsiaTheme="minorHAnsi" w:hAnsiTheme="minorHAnsi" w:cstheme="minorHAnsi"/>
          <w:b/>
          <w:i/>
          <w:sz w:val="24"/>
          <w:szCs w:val="24"/>
          <w:lang w:eastAsia="en-US"/>
        </w:rPr>
        <w:t>qui se substituera au régime indemnitaire jusqu’alors en vigueur dans la collectivité (le cas échéant).</w:t>
      </w:r>
      <w:r w:rsidR="00B7250E">
        <w:rPr>
          <w:rFonts w:asciiTheme="minorHAnsi" w:eastAsiaTheme="minorHAnsi" w:hAnsiTheme="minorHAnsi" w:cstheme="minorHAnsi"/>
          <w:b/>
          <w:i/>
          <w:sz w:val="24"/>
          <w:szCs w:val="24"/>
          <w:lang w:eastAsia="en-US"/>
        </w:rPr>
        <w:t xml:space="preserve"> Les délibérations relatives à l’IAT et l’ISMF seront dès lors abrogées.</w:t>
      </w:r>
    </w:p>
    <w:p w14:paraId="4B7C9041" w14:textId="77777777" w:rsidR="005B4919" w:rsidRDefault="005B4919" w:rsidP="00067E2C">
      <w:pPr>
        <w:spacing w:after="0"/>
        <w:outlineLvl w:val="0"/>
        <w:rPr>
          <w:rFonts w:asciiTheme="minorHAnsi" w:hAnsiTheme="minorHAnsi" w:cstheme="minorHAnsi"/>
          <w:sz w:val="24"/>
          <w:szCs w:val="24"/>
        </w:rPr>
      </w:pPr>
      <w:bookmarkStart w:id="3" w:name="_Hlk84330749"/>
    </w:p>
    <w:p w14:paraId="7590A678" w14:textId="473E0539" w:rsidR="00313327" w:rsidRPr="00AA3397" w:rsidRDefault="00067E2C" w:rsidP="00A448C7">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Il appartient à l'organe délibérant, conformément aux dispositions légales énoncées ci-dessus, de déterminer par délibération, </w:t>
      </w:r>
      <w:r w:rsidR="008C38CA" w:rsidRPr="005B4919">
        <w:rPr>
          <w:rFonts w:asciiTheme="minorHAnsi" w:hAnsiTheme="minorHAnsi" w:cstheme="minorHAnsi"/>
          <w:kern w:val="20"/>
          <w:sz w:val="24"/>
          <w:szCs w:val="24"/>
        </w:rPr>
        <w:t xml:space="preserve">les modalités d’instauration </w:t>
      </w:r>
      <w:r w:rsidR="005B4919">
        <w:rPr>
          <w:rFonts w:asciiTheme="minorHAnsi" w:hAnsiTheme="minorHAnsi" w:cstheme="minorHAnsi"/>
          <w:kern w:val="20"/>
          <w:sz w:val="24"/>
          <w:szCs w:val="24"/>
        </w:rPr>
        <w:t>de l’ISFE</w:t>
      </w:r>
      <w:r w:rsidR="008C38CA" w:rsidRPr="005B4919">
        <w:rPr>
          <w:rFonts w:asciiTheme="minorHAnsi" w:hAnsiTheme="minorHAnsi" w:cstheme="minorHAnsi"/>
          <w:kern w:val="20"/>
          <w:sz w:val="24"/>
          <w:szCs w:val="24"/>
        </w:rPr>
        <w:t>.</w:t>
      </w:r>
    </w:p>
    <w:p w14:paraId="2017B7A6" w14:textId="77777777" w:rsidR="00DB5507" w:rsidRPr="005B4919" w:rsidRDefault="00DB5507" w:rsidP="00A448C7">
      <w:pPr>
        <w:spacing w:after="0"/>
        <w:outlineLvl w:val="0"/>
        <w:rPr>
          <w:rFonts w:asciiTheme="minorHAnsi" w:hAnsiTheme="minorHAnsi" w:cstheme="minorHAnsi"/>
          <w:i/>
          <w:color w:val="00B0F0"/>
          <w:sz w:val="24"/>
          <w:szCs w:val="24"/>
        </w:rPr>
      </w:pPr>
    </w:p>
    <w:p w14:paraId="06CF2836" w14:textId="572863F1" w:rsidR="00872E24" w:rsidRPr="005B4919" w:rsidRDefault="00872E24" w:rsidP="00A448C7">
      <w:pPr>
        <w:spacing w:after="0"/>
        <w:rPr>
          <w:rFonts w:asciiTheme="minorHAnsi" w:hAnsiTheme="minorHAnsi" w:cstheme="minorHAnsi"/>
          <w:b/>
          <w:kern w:val="20"/>
          <w:sz w:val="24"/>
          <w:szCs w:val="24"/>
        </w:rPr>
      </w:pPr>
      <w:r w:rsidRPr="005B4919">
        <w:rPr>
          <w:rFonts w:asciiTheme="minorHAnsi" w:hAnsiTheme="minorHAnsi" w:cstheme="minorHAnsi"/>
          <w:b/>
          <w:kern w:val="20"/>
          <w:sz w:val="24"/>
          <w:szCs w:val="24"/>
        </w:rPr>
        <w:t>L’assemblée délibérante</w:t>
      </w:r>
      <w:r w:rsidR="00AA3397" w:rsidRPr="00AA3397">
        <w:rPr>
          <w:rFonts w:asciiTheme="minorHAnsi" w:hAnsiTheme="minorHAnsi" w:cstheme="minorHAnsi"/>
          <w:color w:val="1F497D" w:themeColor="text2"/>
          <w:kern w:val="20"/>
          <w:sz w:val="24"/>
          <w:szCs w:val="22"/>
        </w:rPr>
        <w:t xml:space="preserve"> </w:t>
      </w:r>
      <w:r w:rsidR="00AA3397" w:rsidRPr="00E2759A">
        <w:rPr>
          <w:rFonts w:asciiTheme="minorHAnsi" w:hAnsiTheme="minorHAnsi" w:cstheme="minorHAnsi"/>
          <w:color w:val="1F497D" w:themeColor="text2"/>
          <w:kern w:val="20"/>
          <w:sz w:val="24"/>
          <w:szCs w:val="22"/>
        </w:rPr>
        <w:t>de</w:t>
      </w:r>
      <w:r w:rsidR="00AA3397" w:rsidRPr="00E2759A">
        <w:rPr>
          <w:rFonts w:asciiTheme="minorHAnsi" w:hAnsiTheme="minorHAnsi" w:cstheme="minorHAnsi"/>
          <w:b/>
          <w:color w:val="1F497D" w:themeColor="text2"/>
          <w:kern w:val="20"/>
          <w:sz w:val="24"/>
          <w:szCs w:val="22"/>
        </w:rPr>
        <w:t xml:space="preserve"> </w:t>
      </w:r>
      <w:r w:rsidR="00AA3397" w:rsidRPr="00041B50">
        <w:rPr>
          <w:rFonts w:asciiTheme="minorHAnsi" w:hAnsiTheme="minorHAnsi" w:cstheme="minorHAnsi"/>
          <w:color w:val="1F497D" w:themeColor="text2"/>
          <w:kern w:val="20"/>
          <w:sz w:val="24"/>
          <w:szCs w:val="22"/>
        </w:rPr>
        <w:t>......................................</w:t>
      </w:r>
      <w:r w:rsidR="00AA3397" w:rsidRPr="00E2759A">
        <w:rPr>
          <w:rFonts w:asciiTheme="minorHAnsi" w:hAnsiTheme="minorHAnsi" w:cstheme="minorHAnsi"/>
          <w:b/>
          <w:color w:val="1F497D" w:themeColor="text2"/>
          <w:kern w:val="20"/>
          <w:sz w:val="24"/>
          <w:szCs w:val="22"/>
        </w:rPr>
        <w:t>,</w:t>
      </w:r>
    </w:p>
    <w:p w14:paraId="34B2FEC8" w14:textId="4621B72B" w:rsidR="00313327" w:rsidRDefault="00313327" w:rsidP="00A448C7">
      <w:pPr>
        <w:spacing w:after="0"/>
        <w:rPr>
          <w:rFonts w:asciiTheme="minorHAnsi" w:hAnsiTheme="minorHAnsi" w:cstheme="minorHAnsi"/>
          <w:b/>
          <w:kern w:val="20"/>
          <w:sz w:val="24"/>
          <w:szCs w:val="24"/>
        </w:rPr>
      </w:pPr>
    </w:p>
    <w:p w14:paraId="167CD958" w14:textId="77777777" w:rsidR="008D3DDF" w:rsidRPr="005B4919" w:rsidRDefault="008D3DDF" w:rsidP="00A448C7">
      <w:pPr>
        <w:spacing w:after="0"/>
        <w:rPr>
          <w:rFonts w:asciiTheme="minorHAnsi" w:hAnsiTheme="minorHAnsi" w:cstheme="minorHAnsi"/>
          <w:b/>
          <w:kern w:val="20"/>
          <w:sz w:val="24"/>
          <w:szCs w:val="24"/>
        </w:rPr>
      </w:pPr>
    </w:p>
    <w:p w14:paraId="6E57E203" w14:textId="3E25EFCC" w:rsidR="00A82D77" w:rsidRPr="005B4919" w:rsidRDefault="00AC681E" w:rsidP="00E063F9">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sidR="00AA3397">
        <w:rPr>
          <w:rFonts w:asciiTheme="minorHAnsi" w:hAnsiTheme="minorHAnsi" w:cstheme="minorHAnsi"/>
          <w:b/>
          <w:color w:val="1F497D" w:themeColor="text2"/>
          <w:kern w:val="20"/>
          <w:sz w:val="36"/>
          <w:szCs w:val="22"/>
        </w:rPr>
        <w:t>ÉCIDE</w:t>
      </w:r>
    </w:p>
    <w:bookmarkEnd w:id="3"/>
    <w:p w14:paraId="47DBEAAE" w14:textId="4EAACDF3" w:rsidR="00AA3397" w:rsidRDefault="00AA3397" w:rsidP="00A82D77">
      <w:pPr>
        <w:spacing w:after="0"/>
        <w:rPr>
          <w:rFonts w:asciiTheme="minorHAnsi" w:hAnsiTheme="minorHAnsi" w:cstheme="minorHAnsi"/>
          <w:b/>
          <w:bCs/>
          <w:kern w:val="20"/>
          <w:sz w:val="24"/>
          <w:szCs w:val="24"/>
        </w:rPr>
      </w:pPr>
    </w:p>
    <w:p w14:paraId="09ABB9F9" w14:textId="77777777" w:rsidR="008D3DDF" w:rsidRPr="005B4919" w:rsidRDefault="008D3DDF" w:rsidP="00A82D77">
      <w:pPr>
        <w:spacing w:after="0"/>
        <w:rPr>
          <w:rFonts w:asciiTheme="minorHAnsi" w:hAnsiTheme="minorHAnsi" w:cstheme="minorHAnsi"/>
          <w:b/>
          <w:bCs/>
          <w:kern w:val="20"/>
          <w:sz w:val="24"/>
          <w:szCs w:val="24"/>
        </w:rPr>
      </w:pPr>
    </w:p>
    <w:p w14:paraId="5D19976D" w14:textId="17021664" w:rsidR="00AA3397" w:rsidRPr="00E2759A" w:rsidRDefault="00AA3397" w:rsidP="00AA3397">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1</w:t>
      </w:r>
      <w:r w:rsidRPr="00E2759A">
        <w:rPr>
          <w:rFonts w:asciiTheme="minorHAnsi" w:hAnsiTheme="minorHAnsi" w:cstheme="minorHAnsi"/>
          <w:u w:val="none"/>
        </w:rPr>
        <w:t xml:space="preserve"> :</w:t>
      </w:r>
      <w:r>
        <w:rPr>
          <w:rFonts w:asciiTheme="minorHAnsi" w:hAnsiTheme="minorHAnsi" w:cstheme="minorHAnsi"/>
          <w:u w:val="none"/>
        </w:rPr>
        <w:t xml:space="preserve"> BÉNÉFICIAIRES</w:t>
      </w:r>
    </w:p>
    <w:p w14:paraId="248A4876" w14:textId="2F63AF3E" w:rsidR="008B736F" w:rsidRDefault="00AA3397" w:rsidP="008B736F">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 xml:space="preserve">D’instaurer </w:t>
      </w:r>
      <w:r>
        <w:rPr>
          <w:rFonts w:asciiTheme="minorHAnsi" w:hAnsiTheme="minorHAnsi" w:cstheme="minorHAnsi"/>
          <w:kern w:val="20"/>
          <w:sz w:val="24"/>
          <w:szCs w:val="24"/>
        </w:rPr>
        <w:t>l’indemnité spéciale de fonction et d’engagement pour les agents relevant des cadres d’emplois suivants :</w:t>
      </w:r>
    </w:p>
    <w:p w14:paraId="1E4699FF" w14:textId="2B932481"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Directeurs de police municipale ;</w:t>
      </w:r>
    </w:p>
    <w:p w14:paraId="35BE2703" w14:textId="1CD86BC6"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Chefs de service de police municipale ;</w:t>
      </w:r>
    </w:p>
    <w:p w14:paraId="35AB4DC5" w14:textId="35107ED4"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Agents de police municipale ;</w:t>
      </w:r>
    </w:p>
    <w:p w14:paraId="54DE6694" w14:textId="768194F8" w:rsidR="00AA3397" w:rsidRP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Gardes champêtres</w:t>
      </w:r>
      <w:r w:rsidR="002C4828">
        <w:rPr>
          <w:rFonts w:asciiTheme="minorHAnsi" w:hAnsiTheme="minorHAnsi" w:cstheme="minorHAnsi"/>
          <w:kern w:val="20"/>
          <w:sz w:val="24"/>
          <w:szCs w:val="24"/>
        </w:rPr>
        <w:t>.</w:t>
      </w:r>
    </w:p>
    <w:p w14:paraId="620D41CF" w14:textId="31A28F99" w:rsidR="00AA3397" w:rsidRDefault="00AA3397" w:rsidP="008B736F">
      <w:pPr>
        <w:spacing w:after="0"/>
        <w:rPr>
          <w:rFonts w:asciiTheme="minorHAnsi" w:hAnsiTheme="minorHAnsi" w:cstheme="minorHAnsi"/>
          <w:kern w:val="20"/>
          <w:sz w:val="24"/>
          <w:szCs w:val="24"/>
        </w:rPr>
      </w:pPr>
    </w:p>
    <w:p w14:paraId="446B9B8D" w14:textId="3F325D31" w:rsidR="00AA3397" w:rsidRDefault="002C4828" w:rsidP="008B736F">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(Vous pouvez choisir de délibérer pour les quatre cadres d’emplois ou uniquement pour ceux pour lesquels la collectivité ou l’établissement est concerné. Si vous écartez certains cadres d’emplois, puis recrut</w:t>
      </w:r>
      <w:r w:rsidR="0087121F">
        <w:rPr>
          <w:rFonts w:asciiTheme="minorHAnsi" w:eastAsiaTheme="minorHAnsi" w:hAnsiTheme="minorHAnsi" w:cstheme="minorHAnsi"/>
          <w:b/>
          <w:i/>
          <w:color w:val="E36C0A" w:themeColor="accent6" w:themeShade="BF"/>
          <w:sz w:val="24"/>
          <w:szCs w:val="24"/>
          <w:lang w:eastAsia="en-US"/>
        </w:rPr>
        <w:t>ez</w:t>
      </w:r>
      <w:r>
        <w:rPr>
          <w:rFonts w:asciiTheme="minorHAnsi" w:eastAsiaTheme="minorHAnsi" w:hAnsiTheme="minorHAnsi" w:cstheme="minorHAnsi"/>
          <w:b/>
          <w:i/>
          <w:color w:val="E36C0A" w:themeColor="accent6" w:themeShade="BF"/>
          <w:sz w:val="24"/>
          <w:szCs w:val="24"/>
          <w:lang w:eastAsia="en-US"/>
        </w:rPr>
        <w:t xml:space="preserve"> plus tard un agent en relevant, il faudra délibérer de nouveau, après avis du CST, pour instaurer </w:t>
      </w:r>
      <w:r w:rsidR="002D0DD8">
        <w:rPr>
          <w:rFonts w:asciiTheme="minorHAnsi" w:eastAsiaTheme="minorHAnsi" w:hAnsiTheme="minorHAnsi" w:cstheme="minorHAnsi"/>
          <w:b/>
          <w:i/>
          <w:color w:val="E36C0A" w:themeColor="accent6" w:themeShade="BF"/>
          <w:sz w:val="24"/>
          <w:szCs w:val="24"/>
          <w:lang w:eastAsia="en-US"/>
        </w:rPr>
        <w:t>l’ISFE</w:t>
      </w:r>
      <w:r>
        <w:rPr>
          <w:rFonts w:asciiTheme="minorHAnsi" w:eastAsiaTheme="minorHAnsi" w:hAnsiTheme="minorHAnsi" w:cstheme="minorHAnsi"/>
          <w:b/>
          <w:i/>
          <w:color w:val="E36C0A" w:themeColor="accent6" w:themeShade="BF"/>
          <w:sz w:val="24"/>
          <w:szCs w:val="24"/>
          <w:lang w:eastAsia="en-US"/>
        </w:rPr>
        <w:t xml:space="preserve"> pour le cadre d’emplois en question. </w:t>
      </w:r>
      <w:r w:rsidR="002D0DD8">
        <w:rPr>
          <w:rFonts w:asciiTheme="minorHAnsi" w:eastAsiaTheme="minorHAnsi" w:hAnsiTheme="minorHAnsi" w:cstheme="minorHAnsi"/>
          <w:b/>
          <w:i/>
          <w:color w:val="E36C0A" w:themeColor="accent6" w:themeShade="BF"/>
          <w:sz w:val="24"/>
          <w:szCs w:val="24"/>
          <w:lang w:eastAsia="en-US"/>
        </w:rPr>
        <w:t>Le versement rétroactif n’est pas envisageable</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04D3CB8" w14:textId="410217AC" w:rsidR="00AA3397" w:rsidRDefault="00AA3397" w:rsidP="008B736F">
      <w:pPr>
        <w:spacing w:after="0"/>
        <w:rPr>
          <w:rFonts w:asciiTheme="minorHAnsi" w:hAnsiTheme="minorHAnsi" w:cstheme="minorHAnsi"/>
          <w:kern w:val="20"/>
          <w:sz w:val="24"/>
          <w:szCs w:val="24"/>
        </w:rPr>
      </w:pPr>
    </w:p>
    <w:p w14:paraId="70080D46" w14:textId="501FD005"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2</w:t>
      </w:r>
      <w:r w:rsidRPr="00E2759A">
        <w:rPr>
          <w:rFonts w:asciiTheme="minorHAnsi" w:hAnsiTheme="minorHAnsi" w:cstheme="minorHAnsi"/>
          <w:u w:val="none"/>
        </w:rPr>
        <w:t xml:space="preserve"> :</w:t>
      </w:r>
      <w:r>
        <w:rPr>
          <w:rFonts w:asciiTheme="minorHAnsi" w:hAnsiTheme="minorHAnsi" w:cstheme="minorHAnsi"/>
          <w:u w:val="none"/>
        </w:rPr>
        <w:t xml:space="preserve"> PART FIXE</w:t>
      </w:r>
    </w:p>
    <w:p w14:paraId="0852EAD8" w14:textId="31B08CA0"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 la part fixe de l’indemnité spéciale de fonction et d’engagement. Son montant est déterminé en appliquant au montant du traitement soumis à retenue pour pension un taux individuel fixé par l’organe délibérant. Le taux individuel retenu pour chaque cadre d’emplois est le suivant :</w:t>
      </w:r>
    </w:p>
    <w:p w14:paraId="346E12EB" w14:textId="7ACD9188" w:rsidR="002C4828"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33%)</w:t>
      </w:r>
      <w:r>
        <w:rPr>
          <w:rFonts w:asciiTheme="minorHAnsi" w:hAnsiTheme="minorHAnsi" w:cstheme="minorHAnsi"/>
          <w:kern w:val="20"/>
          <w:sz w:val="24"/>
          <w:szCs w:val="24"/>
        </w:rPr>
        <w:t> ;</w:t>
      </w:r>
    </w:p>
    <w:p w14:paraId="07BB108F" w14:textId="241E7403" w:rsid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Chefs de service de police municipale ………………………………………%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2</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970FC2A" w14:textId="10A808BB" w:rsidR="002C4828" w:rsidRP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Agents de police municipale………………………………………%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E86DF8D" w14:textId="210521D1" w:rsidR="002C4828" w:rsidRPr="00AA3397"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D0FA16D" w14:textId="5CEF119C" w:rsidR="002C4828" w:rsidRDefault="002C4828" w:rsidP="002C4828">
      <w:pPr>
        <w:spacing w:after="0"/>
        <w:rPr>
          <w:rFonts w:asciiTheme="minorHAnsi" w:hAnsiTheme="minorHAnsi" w:cstheme="minorHAnsi"/>
          <w:kern w:val="20"/>
          <w:sz w:val="24"/>
          <w:szCs w:val="24"/>
        </w:rPr>
      </w:pPr>
    </w:p>
    <w:p w14:paraId="3142BC95" w14:textId="0AFD70B2"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3</w:t>
      </w:r>
      <w:r w:rsidRPr="00E2759A">
        <w:rPr>
          <w:rFonts w:asciiTheme="minorHAnsi" w:hAnsiTheme="minorHAnsi" w:cstheme="minorHAnsi"/>
          <w:u w:val="none"/>
        </w:rPr>
        <w:t xml:space="preserve"> :</w:t>
      </w:r>
      <w:r>
        <w:rPr>
          <w:rFonts w:asciiTheme="minorHAnsi" w:hAnsiTheme="minorHAnsi" w:cstheme="minorHAnsi"/>
          <w:u w:val="none"/>
        </w:rPr>
        <w:t xml:space="preserve"> PART VARIABLE</w:t>
      </w:r>
    </w:p>
    <w:p w14:paraId="5A8380D6" w14:textId="713FEB1F"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w:t>
      </w:r>
      <w:r w:rsidR="00544952">
        <w:rPr>
          <w:rFonts w:asciiTheme="minorHAnsi" w:hAnsiTheme="minorHAnsi" w:cstheme="minorHAnsi"/>
          <w:kern w:val="20"/>
          <w:sz w:val="24"/>
          <w:szCs w:val="24"/>
        </w:rPr>
        <w:t xml:space="preserve"> la part variable de l’indemnité spéciale de fonction et d’engagement. Son montant tient compte de l’engagement professionnel et de la manière de servir des agents, appréciés selon des critères définis par l’organe délibérant. Le montant maximum de cette part pour chaque cadre d’emplois est le suivant :</w:t>
      </w:r>
    </w:p>
    <w:p w14:paraId="6058679B" w14:textId="55533887" w:rsidR="00544952"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9500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3A8B8811" w14:textId="2FD3F6B9" w:rsidR="00544952"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Chefs de service de police municipale ………………………………………</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7000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15EFC28E" w14:textId="169AC53B" w:rsidR="00544952" w:rsidRPr="002C4828"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Agents de police municipale………………………………………</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2A0774EA" w14:textId="1F6771F9" w:rsidR="00544952" w:rsidRPr="00AA3397"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4D2158C6" w14:textId="13577DB3" w:rsidR="002C4828" w:rsidRDefault="002C4828" w:rsidP="002C4828">
      <w:pPr>
        <w:spacing w:after="0"/>
        <w:rPr>
          <w:rFonts w:asciiTheme="minorHAnsi" w:hAnsiTheme="minorHAnsi" w:cstheme="minorHAnsi"/>
          <w:kern w:val="20"/>
          <w:sz w:val="24"/>
          <w:szCs w:val="24"/>
        </w:rPr>
      </w:pPr>
    </w:p>
    <w:p w14:paraId="1E7DF75F" w14:textId="295BA01C" w:rsidR="002C4828" w:rsidRDefault="00544952" w:rsidP="002C4828">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De fixer les critères d’évaluation de la manière suivante : </w:t>
      </w:r>
      <w:r w:rsidRPr="002C4828">
        <w:rPr>
          <w:rFonts w:asciiTheme="minorHAnsi" w:hAnsiTheme="minorHAnsi" w:cstheme="minorHAnsi"/>
          <w:kern w:val="20"/>
          <w:sz w:val="24"/>
          <w:szCs w:val="24"/>
        </w:rPr>
        <w:t>………………………………………</w:t>
      </w:r>
    </w:p>
    <w:p w14:paraId="6F6A4808" w14:textId="1F24E187" w:rsidR="00544952" w:rsidRDefault="00544952" w:rsidP="00544952">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(Il est conseillé de reprendre les critères d’appréciation de la valeur professionnelle retenus pour les entretiens professionnels annuels</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31A844AE" w14:textId="77777777" w:rsidR="002C4828" w:rsidRDefault="002C4828" w:rsidP="002C4828">
      <w:pPr>
        <w:spacing w:after="0"/>
        <w:rPr>
          <w:rFonts w:asciiTheme="minorHAnsi" w:hAnsiTheme="minorHAnsi" w:cstheme="minorHAnsi"/>
          <w:kern w:val="20"/>
          <w:sz w:val="24"/>
          <w:szCs w:val="24"/>
        </w:rPr>
      </w:pPr>
    </w:p>
    <w:p w14:paraId="266E26CB" w14:textId="1E723990" w:rsidR="00DD2FEE" w:rsidRPr="00E2759A" w:rsidRDefault="00DD2FEE" w:rsidP="00DD2FE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4</w:t>
      </w:r>
      <w:r w:rsidRPr="00E2759A">
        <w:rPr>
          <w:rFonts w:asciiTheme="minorHAnsi" w:hAnsiTheme="minorHAnsi" w:cstheme="minorHAnsi"/>
          <w:u w:val="none"/>
        </w:rPr>
        <w:t xml:space="preserve"> :</w:t>
      </w:r>
      <w:r>
        <w:rPr>
          <w:rFonts w:asciiTheme="minorHAnsi" w:hAnsiTheme="minorHAnsi" w:cstheme="minorHAnsi"/>
          <w:u w:val="none"/>
        </w:rPr>
        <w:t xml:space="preserve"> PÉRIODICITÉ DU VERSEMENT</w:t>
      </w:r>
    </w:p>
    <w:p w14:paraId="4CF138B7" w14:textId="7202EDCB" w:rsidR="00AA3397"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 de l’indemnité spéciale de fonction et d’engagement est versée mensuellement.</w:t>
      </w:r>
    </w:p>
    <w:p w14:paraId="75698911" w14:textId="1B589B3A" w:rsidR="00DD2FEE" w:rsidRDefault="00DD2FEE" w:rsidP="008B736F">
      <w:pPr>
        <w:spacing w:after="0"/>
        <w:rPr>
          <w:rFonts w:asciiTheme="minorHAnsi" w:hAnsiTheme="minorHAnsi" w:cstheme="minorHAnsi"/>
          <w:kern w:val="20"/>
          <w:sz w:val="24"/>
          <w:szCs w:val="24"/>
        </w:rPr>
      </w:pPr>
    </w:p>
    <w:p w14:paraId="3147CD8C" w14:textId="4594F988" w:rsidR="00DD2FEE"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variable de l’indemnité spéciale de fonction et d’engagement est</w:t>
      </w:r>
      <w:r w:rsidR="00FA4290">
        <w:rPr>
          <w:rFonts w:asciiTheme="minorHAnsi" w:hAnsiTheme="minorHAnsi" w:cstheme="minorHAnsi"/>
          <w:kern w:val="20"/>
          <w:sz w:val="24"/>
          <w:szCs w:val="24"/>
        </w:rPr>
        <w:t>, quant à elle,</w:t>
      </w:r>
      <w:r>
        <w:rPr>
          <w:rFonts w:asciiTheme="minorHAnsi" w:hAnsiTheme="minorHAnsi" w:cstheme="minorHAnsi"/>
          <w:kern w:val="20"/>
          <w:sz w:val="24"/>
          <w:szCs w:val="24"/>
        </w:rPr>
        <w:t xml:space="preserve"> versée annuellement.</w:t>
      </w:r>
    </w:p>
    <w:p w14:paraId="2B0CBA1D" w14:textId="2506C224" w:rsidR="00DD2FEE" w:rsidRPr="005B4919" w:rsidRDefault="00DD2FEE" w:rsidP="008B736F">
      <w:pPr>
        <w:spacing w:after="0"/>
        <w:rPr>
          <w:rFonts w:asciiTheme="minorHAnsi" w:hAnsiTheme="minorHAnsi" w:cstheme="minorHAnsi"/>
          <w:kern w:val="20"/>
          <w:sz w:val="24"/>
          <w:szCs w:val="24"/>
        </w:rPr>
      </w:pPr>
      <w:r w:rsidRPr="005B4919">
        <w:rPr>
          <w:rFonts w:asciiTheme="minorHAnsi" w:eastAsiaTheme="minorHAnsi" w:hAnsiTheme="minorHAnsi" w:cstheme="minorHAnsi"/>
          <w:b/>
          <w:i/>
          <w:sz w:val="24"/>
          <w:szCs w:val="24"/>
          <w:lang w:eastAsia="en-US"/>
        </w:rPr>
        <w:t>(</w:t>
      </w:r>
      <w:proofErr w:type="gramStart"/>
      <w:r>
        <w:rPr>
          <w:rFonts w:asciiTheme="minorHAnsi" w:eastAsiaTheme="minorHAnsi" w:hAnsiTheme="minorHAnsi" w:cstheme="minorHAnsi"/>
          <w:b/>
          <w:i/>
          <w:sz w:val="24"/>
          <w:szCs w:val="24"/>
          <w:lang w:eastAsia="en-US"/>
        </w:rPr>
        <w:t>OU</w:t>
      </w:r>
      <w:proofErr w:type="gramEnd"/>
      <w:r>
        <w:rPr>
          <w:rFonts w:asciiTheme="minorHAnsi" w:eastAsiaTheme="minorHAnsi" w:hAnsiTheme="minorHAnsi" w:cstheme="minorHAnsi"/>
          <w:b/>
          <w:i/>
          <w:sz w:val="24"/>
          <w:szCs w:val="24"/>
          <w:lang w:eastAsia="en-US"/>
        </w:rPr>
        <w:t> : La part variable de l’indemnité spéciale de fonction et d’engagement est</w:t>
      </w:r>
      <w:r w:rsidR="000B4D57">
        <w:rPr>
          <w:rFonts w:asciiTheme="minorHAnsi" w:eastAsiaTheme="minorHAnsi" w:hAnsiTheme="minorHAnsi" w:cstheme="minorHAnsi"/>
          <w:b/>
          <w:i/>
          <w:sz w:val="24"/>
          <w:szCs w:val="24"/>
          <w:lang w:eastAsia="en-US"/>
        </w:rPr>
        <w:t>, quant à elle,</w:t>
      </w:r>
      <w:r>
        <w:rPr>
          <w:rFonts w:asciiTheme="minorHAnsi" w:eastAsiaTheme="minorHAnsi" w:hAnsiTheme="minorHAnsi" w:cstheme="minorHAnsi"/>
          <w:b/>
          <w:i/>
          <w:sz w:val="24"/>
          <w:szCs w:val="24"/>
          <w:lang w:eastAsia="en-US"/>
        </w:rPr>
        <w:t xml:space="preserve"> versée mensuellement dans la limite de 50% du plafond défini à l’article </w:t>
      </w:r>
      <w:r w:rsidR="008D3DDF">
        <w:rPr>
          <w:rFonts w:asciiTheme="minorHAnsi" w:eastAsiaTheme="minorHAnsi" w:hAnsiTheme="minorHAnsi" w:cstheme="minorHAnsi"/>
          <w:b/>
          <w:i/>
          <w:sz w:val="24"/>
          <w:szCs w:val="24"/>
          <w:lang w:eastAsia="en-US"/>
        </w:rPr>
        <w:t>3</w:t>
      </w:r>
      <w:r>
        <w:rPr>
          <w:rFonts w:asciiTheme="minorHAnsi" w:eastAsiaTheme="minorHAnsi" w:hAnsiTheme="minorHAnsi" w:cstheme="minorHAnsi"/>
          <w:b/>
          <w:i/>
          <w:sz w:val="24"/>
          <w:szCs w:val="24"/>
          <w:lang w:eastAsia="en-US"/>
        </w:rPr>
        <w:t xml:space="preserve"> de cette délibération. Elle sera complétée d’un versement annuel sans que la somme des versements dépasse ce même plafond</w:t>
      </w:r>
      <w:r w:rsidRPr="005B4919">
        <w:rPr>
          <w:rFonts w:asciiTheme="minorHAnsi" w:eastAsiaTheme="minorHAnsi" w:hAnsiTheme="minorHAnsi" w:cstheme="minorHAnsi"/>
          <w:b/>
          <w:i/>
          <w:sz w:val="24"/>
          <w:szCs w:val="24"/>
          <w:lang w:eastAsia="en-US"/>
        </w:rPr>
        <w:t>).</w:t>
      </w:r>
    </w:p>
    <w:p w14:paraId="184340A4" w14:textId="501AA0FC" w:rsidR="00B779B3" w:rsidRPr="005F20AC" w:rsidRDefault="00B779B3" w:rsidP="00B779B3">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5</w:t>
      </w:r>
      <w:r w:rsidRPr="00E2759A">
        <w:rPr>
          <w:rFonts w:asciiTheme="minorHAnsi" w:hAnsiTheme="minorHAnsi" w:cstheme="minorHAnsi"/>
          <w:u w:val="none"/>
        </w:rPr>
        <w:t xml:space="preserve"> :</w:t>
      </w:r>
      <w:r>
        <w:rPr>
          <w:rFonts w:asciiTheme="minorHAnsi" w:hAnsiTheme="minorHAnsi" w:cstheme="minorHAnsi"/>
          <w:u w:val="none"/>
        </w:rPr>
        <w:t xml:space="preserve"> MODALITÉS DE RETENUE OU DE SUPPRESSION DE LA PART FIXE POUR ABSENCE</w:t>
      </w:r>
    </w:p>
    <w:p w14:paraId="6713943D" w14:textId="6092912A"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déterminer précisément l’attribution des </w:t>
      </w:r>
      <w:r w:rsidR="005656EE">
        <w:rPr>
          <w:rFonts w:asciiTheme="minorHAnsi" w:eastAsiaTheme="minorHAnsi" w:hAnsiTheme="minorHAnsi" w:cstheme="minorHAnsi"/>
          <w:b/>
          <w:i/>
          <w:color w:val="E36C0A" w:themeColor="accent6" w:themeShade="BF"/>
          <w:sz w:val="24"/>
          <w:szCs w:val="24"/>
          <w:lang w:eastAsia="en-US"/>
        </w:rPr>
        <w:t>parts</w:t>
      </w:r>
      <w:r w:rsidRPr="005F20AC">
        <w:rPr>
          <w:rFonts w:asciiTheme="minorHAnsi" w:eastAsiaTheme="minorHAnsi" w:hAnsiTheme="minorHAnsi" w:cstheme="minorHAnsi"/>
          <w:b/>
          <w:i/>
          <w:color w:val="E36C0A" w:themeColor="accent6" w:themeShade="BF"/>
          <w:sz w:val="24"/>
          <w:szCs w:val="24"/>
          <w:lang w:eastAsia="en-US"/>
        </w:rPr>
        <w:t xml:space="preserve"> en cas d’absence en fixant les clauses de maintien, de diminution ou de suppression.</w:t>
      </w:r>
    </w:p>
    <w:p w14:paraId="752ADEFE" w14:textId="77777777" w:rsidR="00B779B3" w:rsidRDefault="00B779B3" w:rsidP="00B779B3">
      <w:pPr>
        <w:spacing w:after="0"/>
        <w:rPr>
          <w:rFonts w:asciiTheme="minorHAnsi" w:hAnsiTheme="minorHAnsi" w:cstheme="minorHAnsi"/>
          <w:kern w:val="20"/>
          <w:sz w:val="24"/>
          <w:szCs w:val="24"/>
        </w:rPr>
      </w:pPr>
    </w:p>
    <w:p w14:paraId="08B9B9A0" w14:textId="77777777" w:rsidR="00B779B3" w:rsidRPr="005F20AC" w:rsidRDefault="00B779B3" w:rsidP="00B779B3">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w:t>
      </w:r>
      <w:r w:rsidRPr="005F20AC">
        <w:rPr>
          <w:rFonts w:asciiTheme="minorHAnsi" w:hAnsiTheme="minorHAnsi" w:cstheme="minorHAnsi"/>
          <w:kern w:val="20"/>
          <w:sz w:val="24"/>
          <w:szCs w:val="24"/>
        </w:rPr>
        <w:t xml:space="preserve"> est maintenue pendant :</w:t>
      </w:r>
    </w:p>
    <w:p w14:paraId="5812F2A2"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annuels, JRTT, repos compensateurs</w:t>
      </w:r>
      <w:r>
        <w:rPr>
          <w:rFonts w:asciiTheme="minorHAnsi" w:hAnsiTheme="minorHAnsi" w:cstheme="minorHAnsi"/>
          <w:kern w:val="20"/>
          <w:sz w:val="24"/>
          <w:szCs w:val="24"/>
        </w:rPr>
        <w:t> ;</w:t>
      </w:r>
    </w:p>
    <w:p w14:paraId="69F323F0"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bonifiés</w:t>
      </w:r>
      <w:r>
        <w:rPr>
          <w:rFonts w:asciiTheme="minorHAnsi" w:hAnsiTheme="minorHAnsi" w:cstheme="minorHAnsi"/>
          <w:kern w:val="20"/>
          <w:sz w:val="24"/>
          <w:szCs w:val="24"/>
        </w:rPr>
        <w:t> ;</w:t>
      </w:r>
    </w:p>
    <w:p w14:paraId="2FB6AE64" w14:textId="18A21285"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pris au titre du Compte Epargne Temps </w:t>
      </w:r>
      <w:r w:rsidR="00070C5D">
        <w:rPr>
          <w:rFonts w:asciiTheme="minorHAnsi" w:hAnsiTheme="minorHAnsi" w:cstheme="minorHAnsi"/>
          <w:kern w:val="20"/>
          <w:sz w:val="24"/>
          <w:szCs w:val="24"/>
        </w:rPr>
        <w:t>(CET)</w:t>
      </w:r>
      <w:r>
        <w:rPr>
          <w:rFonts w:asciiTheme="minorHAnsi" w:hAnsiTheme="minorHAnsi" w:cstheme="minorHAnsi"/>
          <w:kern w:val="20"/>
          <w:sz w:val="24"/>
          <w:szCs w:val="24"/>
        </w:rPr>
        <w:t> ;</w:t>
      </w:r>
    </w:p>
    <w:p w14:paraId="0E4D0401"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L’absence liée à une action de formation professionnelle</w:t>
      </w:r>
      <w:r>
        <w:rPr>
          <w:rFonts w:asciiTheme="minorHAnsi" w:hAnsiTheme="minorHAnsi" w:cstheme="minorHAnsi"/>
          <w:kern w:val="20"/>
          <w:sz w:val="24"/>
          <w:szCs w:val="24"/>
        </w:rPr>
        <w:t> ;</w:t>
      </w:r>
    </w:p>
    <w:p w14:paraId="3B9F4D6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pour formation syndicale</w:t>
      </w:r>
      <w:r>
        <w:rPr>
          <w:rFonts w:asciiTheme="minorHAnsi" w:hAnsiTheme="minorHAnsi" w:cstheme="minorHAnsi"/>
          <w:kern w:val="20"/>
          <w:sz w:val="24"/>
          <w:szCs w:val="24"/>
        </w:rPr>
        <w:t> ;</w:t>
      </w:r>
    </w:p>
    <w:p w14:paraId="6968C38D" w14:textId="6C64C549"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décharge de service pour exercer un mandat syndical</w:t>
      </w:r>
      <w:r>
        <w:rPr>
          <w:rFonts w:asciiTheme="minorHAnsi" w:hAnsiTheme="minorHAnsi" w:cstheme="minorHAnsi"/>
          <w:kern w:val="20"/>
          <w:sz w:val="24"/>
          <w:szCs w:val="24"/>
        </w:rPr>
        <w:t> ;</w:t>
      </w:r>
    </w:p>
    <w:p w14:paraId="7322EA56"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maternité, d’adoption, de paternité et d’accueil de l’enfant</w:t>
      </w:r>
      <w:r>
        <w:rPr>
          <w:rFonts w:asciiTheme="minorHAnsi" w:hAnsiTheme="minorHAnsi" w:cstheme="minorHAnsi"/>
          <w:kern w:val="20"/>
          <w:sz w:val="24"/>
          <w:szCs w:val="24"/>
        </w:rPr>
        <w:t> ;</w:t>
      </w:r>
    </w:p>
    <w:p w14:paraId="1D84D796"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maladie ordinaire : dans ce cas, les primes sont maintenues en intégralité pendant les périodes de plein traitement et réduit de moitié pendant les périodes à demi-traitement</w:t>
      </w:r>
      <w:r>
        <w:rPr>
          <w:rFonts w:cs="Tahoma"/>
          <w:kern w:val="20"/>
        </w:rPr>
        <w:t xml:space="preserv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C4F502A"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consécutifs à un accident de service ou à une maladie professionnelle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59C3175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pour invalidité temporaire imputable au service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2C63A51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 temps partiel thérapeutique : les primes suivent le traitement et sont donc maintenues en intégralité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5C17BEA"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L’autorisation spéciale d’absence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6ABB6C96" w14:textId="692CAA81"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 </w:t>
      </w:r>
      <w:r w:rsidR="0075618E">
        <w:rPr>
          <w:rFonts w:asciiTheme="minorHAnsi" w:hAnsiTheme="minorHAnsi" w:cstheme="minorHAnsi"/>
          <w:kern w:val="20"/>
          <w:sz w:val="24"/>
          <w:szCs w:val="24"/>
        </w:rPr>
        <w:t xml:space="preserve">période de préparation au reclassement </w:t>
      </w:r>
      <w:r w:rsidRPr="005F20AC">
        <w:rPr>
          <w:rFonts w:asciiTheme="minorHAnsi" w:hAnsiTheme="minorHAnsi" w:cstheme="minorHAnsi"/>
          <w:kern w:val="20"/>
          <w:sz w:val="24"/>
          <w:szCs w:val="24"/>
        </w:rPr>
        <w:t xml:space="preserve">– PPR </w:t>
      </w:r>
      <w:r w:rsidRPr="005F20AC">
        <w:rPr>
          <w:rFonts w:asciiTheme="minorHAnsi" w:eastAsiaTheme="minorHAnsi" w:hAnsiTheme="minorHAnsi" w:cstheme="minorHAnsi"/>
          <w:b/>
          <w:i/>
          <w:color w:val="E36C0A" w:themeColor="accent6" w:themeShade="BF"/>
          <w:sz w:val="24"/>
          <w:szCs w:val="24"/>
          <w:lang w:eastAsia="en-US"/>
        </w:rPr>
        <w:t>(préconisation du CDG)</w:t>
      </w:r>
      <w:r w:rsidRPr="003248BE">
        <w:rPr>
          <w:rFonts w:cs="Tahoma"/>
          <w:kern w:val="20"/>
        </w:rPr>
        <w:t>.</w:t>
      </w:r>
    </w:p>
    <w:p w14:paraId="3341B99E" w14:textId="77777777" w:rsidR="00B779B3" w:rsidRPr="005F20AC" w:rsidRDefault="00B779B3" w:rsidP="00B779B3">
      <w:pPr>
        <w:spacing w:after="0"/>
        <w:rPr>
          <w:rFonts w:cs="Tahoma"/>
          <w:kern w:val="20"/>
        </w:rPr>
      </w:pPr>
    </w:p>
    <w:p w14:paraId="7B7AB74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part fixe est suspendue pendant :</w:t>
      </w:r>
    </w:p>
    <w:p w14:paraId="2DD68A5E" w14:textId="3BF613D4"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longue maladie</w:t>
      </w:r>
      <w:r w:rsidR="00070C5D">
        <w:rPr>
          <w:rFonts w:asciiTheme="minorHAnsi" w:hAnsiTheme="minorHAnsi" w:cstheme="minorHAnsi"/>
          <w:kern w:val="20"/>
          <w:sz w:val="24"/>
          <w:szCs w:val="24"/>
        </w:rPr>
        <w:t xml:space="preserve"> (CLM)</w:t>
      </w:r>
      <w:r w:rsidRPr="005F20AC">
        <w:rPr>
          <w:rFonts w:asciiTheme="minorHAnsi" w:hAnsiTheme="minorHAnsi" w:cstheme="minorHAnsi"/>
          <w:kern w:val="20"/>
          <w:sz w:val="24"/>
          <w:szCs w:val="24"/>
        </w:rPr>
        <w:t xml:space="preserve"> et de longue durée</w:t>
      </w:r>
      <w:r w:rsidR="00070C5D">
        <w:rPr>
          <w:rFonts w:asciiTheme="minorHAnsi" w:hAnsiTheme="minorHAnsi" w:cstheme="minorHAnsi"/>
          <w:kern w:val="20"/>
          <w:sz w:val="24"/>
          <w:szCs w:val="24"/>
        </w:rPr>
        <w:t xml:space="preserve"> (CLD)</w:t>
      </w:r>
      <w:r w:rsidRPr="005F20AC">
        <w:rPr>
          <w:rFonts w:asciiTheme="minorHAnsi" w:hAnsiTheme="minorHAnsi" w:cstheme="minorHAnsi"/>
          <w:kern w:val="20"/>
          <w:sz w:val="24"/>
          <w:szCs w:val="24"/>
        </w:rPr>
        <w:t xml:space="preserve"> pour les fonctionnaires</w:t>
      </w:r>
      <w:r>
        <w:rPr>
          <w:rFonts w:asciiTheme="minorHAnsi" w:hAnsiTheme="minorHAnsi" w:cstheme="minorHAnsi"/>
          <w:kern w:val="20"/>
          <w:sz w:val="24"/>
          <w:szCs w:val="24"/>
        </w:rPr>
        <w:t> ;</w:t>
      </w:r>
    </w:p>
    <w:p w14:paraId="1A8714FD" w14:textId="5D90373F"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grave maladie</w:t>
      </w:r>
      <w:r w:rsidR="00070C5D">
        <w:rPr>
          <w:rFonts w:asciiTheme="minorHAnsi" w:hAnsiTheme="minorHAnsi" w:cstheme="minorHAnsi"/>
          <w:kern w:val="20"/>
          <w:sz w:val="24"/>
          <w:szCs w:val="24"/>
        </w:rPr>
        <w:t xml:space="preserve"> (CGM)</w:t>
      </w:r>
      <w:r w:rsidRPr="005F20AC">
        <w:rPr>
          <w:rFonts w:asciiTheme="minorHAnsi" w:hAnsiTheme="minorHAnsi" w:cstheme="minorHAnsi"/>
          <w:kern w:val="20"/>
          <w:sz w:val="24"/>
          <w:szCs w:val="24"/>
        </w:rPr>
        <w:t xml:space="preserve"> pour agents relevant du régime général (IRCANTEC)</w:t>
      </w:r>
      <w:r>
        <w:rPr>
          <w:rFonts w:asciiTheme="minorHAnsi" w:hAnsiTheme="minorHAnsi" w:cstheme="minorHAnsi"/>
          <w:kern w:val="20"/>
          <w:sz w:val="24"/>
          <w:szCs w:val="24"/>
        </w:rPr>
        <w:t> ;</w:t>
      </w:r>
    </w:p>
    <w:p w14:paraId="4B3CE36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parental</w:t>
      </w:r>
      <w:r>
        <w:rPr>
          <w:rFonts w:asciiTheme="minorHAnsi" w:hAnsiTheme="minorHAnsi" w:cstheme="minorHAnsi"/>
          <w:kern w:val="20"/>
          <w:sz w:val="24"/>
          <w:szCs w:val="24"/>
        </w:rPr>
        <w:t> ;</w:t>
      </w:r>
    </w:p>
    <w:p w14:paraId="79ED012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proche aidant</w:t>
      </w:r>
      <w:r>
        <w:rPr>
          <w:rFonts w:asciiTheme="minorHAnsi" w:hAnsiTheme="minorHAnsi" w:cstheme="minorHAnsi"/>
          <w:kern w:val="20"/>
          <w:sz w:val="24"/>
          <w:szCs w:val="24"/>
        </w:rPr>
        <w:t> ;</w:t>
      </w:r>
    </w:p>
    <w:p w14:paraId="1451C5A8"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solidarité familiale</w:t>
      </w:r>
      <w:r>
        <w:rPr>
          <w:rFonts w:asciiTheme="minorHAnsi" w:hAnsiTheme="minorHAnsi" w:cstheme="minorHAnsi"/>
          <w:kern w:val="20"/>
          <w:sz w:val="24"/>
          <w:szCs w:val="24"/>
        </w:rPr>
        <w:t> ;</w:t>
      </w:r>
    </w:p>
    <w:p w14:paraId="2018700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disponibilité</w:t>
      </w:r>
      <w:r>
        <w:rPr>
          <w:rFonts w:asciiTheme="minorHAnsi" w:hAnsiTheme="minorHAnsi" w:cstheme="minorHAnsi"/>
          <w:kern w:val="20"/>
          <w:sz w:val="24"/>
          <w:szCs w:val="24"/>
        </w:rPr>
        <w:t> ;</w:t>
      </w:r>
    </w:p>
    <w:p w14:paraId="648DDC7C"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formation professionnelle</w:t>
      </w:r>
      <w:r>
        <w:rPr>
          <w:rFonts w:asciiTheme="minorHAnsi" w:hAnsiTheme="minorHAnsi" w:cstheme="minorHAnsi"/>
          <w:kern w:val="20"/>
          <w:sz w:val="24"/>
          <w:szCs w:val="24"/>
        </w:rPr>
        <w:t> ;</w:t>
      </w:r>
    </w:p>
    <w:p w14:paraId="31506022"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suspension</w:t>
      </w:r>
      <w:r>
        <w:rPr>
          <w:rFonts w:asciiTheme="minorHAnsi" w:hAnsiTheme="minorHAnsi" w:cstheme="minorHAnsi"/>
          <w:kern w:val="20"/>
          <w:sz w:val="24"/>
          <w:szCs w:val="24"/>
        </w:rPr>
        <w:t> ;</w:t>
      </w:r>
    </w:p>
    <w:p w14:paraId="7384BF15"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L’exclusion temporaire de fonctions</w:t>
      </w:r>
      <w:r>
        <w:rPr>
          <w:rFonts w:asciiTheme="minorHAnsi" w:hAnsiTheme="minorHAnsi" w:cstheme="minorHAnsi"/>
          <w:kern w:val="20"/>
          <w:sz w:val="24"/>
          <w:szCs w:val="24"/>
        </w:rPr>
        <w:t> ;</w:t>
      </w:r>
    </w:p>
    <w:p w14:paraId="46A3747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faits de grève, au prorata du nombre d’heures d’absences de l’agent en cas de jour incomplet</w:t>
      </w:r>
      <w:r>
        <w:rPr>
          <w:rFonts w:asciiTheme="minorHAnsi" w:hAnsiTheme="minorHAnsi" w:cstheme="minorHAnsi"/>
          <w:kern w:val="20"/>
          <w:sz w:val="24"/>
          <w:szCs w:val="24"/>
        </w:rPr>
        <w:t>.</w:t>
      </w:r>
    </w:p>
    <w:p w14:paraId="07B7484E" w14:textId="77777777" w:rsidR="00B779B3" w:rsidRDefault="00B779B3" w:rsidP="00B779B3">
      <w:pPr>
        <w:spacing w:after="0"/>
        <w:rPr>
          <w:rFonts w:cs="Tahoma"/>
          <w:kern w:val="20"/>
        </w:rPr>
      </w:pPr>
    </w:p>
    <w:p w14:paraId="1D5D9AB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Toutefois, lorsqu’un agent est placé en CLM, CLD ou CGM à la suite d'une demande présentée au cours d'un congé de maladie, les primes et indemnités qui lui ont été versées durant son congé de maladie lui demeurent acquises.</w:t>
      </w:r>
    </w:p>
    <w:p w14:paraId="2B058280" w14:textId="77777777" w:rsidR="00B779B3" w:rsidRPr="000915D7" w:rsidRDefault="00B779B3" w:rsidP="00B779B3">
      <w:pPr>
        <w:spacing w:after="0"/>
        <w:rPr>
          <w:rFonts w:cs="Tahoma"/>
          <w:kern w:val="20"/>
        </w:rPr>
      </w:pPr>
    </w:p>
    <w:p w14:paraId="0D6C336F" w14:textId="77777777"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ne pas appliquer une diminution </w:t>
      </w:r>
      <w:r>
        <w:rPr>
          <w:rFonts w:asciiTheme="minorHAnsi" w:eastAsiaTheme="minorHAnsi" w:hAnsiTheme="minorHAnsi" w:cstheme="minorHAnsi"/>
          <w:b/>
          <w:i/>
          <w:color w:val="E36C0A" w:themeColor="accent6" w:themeShade="BF"/>
          <w:sz w:val="24"/>
          <w:szCs w:val="24"/>
          <w:lang w:eastAsia="en-US"/>
        </w:rPr>
        <w:t>de la part variable</w:t>
      </w:r>
      <w:r w:rsidRPr="005F20AC">
        <w:rPr>
          <w:rFonts w:asciiTheme="minorHAnsi" w:eastAsiaTheme="minorHAnsi" w:hAnsiTheme="minorHAnsi" w:cstheme="minorHAnsi"/>
          <w:b/>
          <w:i/>
          <w:color w:val="E36C0A" w:themeColor="accent6" w:themeShade="BF"/>
          <w:sz w:val="24"/>
          <w:szCs w:val="24"/>
          <w:lang w:eastAsia="en-US"/>
        </w:rPr>
        <w:t xml:space="preserve"> en cas d’absence</w:t>
      </w:r>
      <w:r>
        <w:rPr>
          <w:rFonts w:asciiTheme="minorHAnsi" w:eastAsiaTheme="minorHAnsi" w:hAnsiTheme="minorHAnsi" w:cstheme="minorHAnsi"/>
          <w:b/>
          <w:i/>
          <w:color w:val="E36C0A" w:themeColor="accent6" w:themeShade="BF"/>
          <w:sz w:val="24"/>
          <w:szCs w:val="24"/>
          <w:lang w:eastAsia="en-US"/>
        </w:rPr>
        <w:t>,</w:t>
      </w:r>
      <w:r w:rsidRPr="005F20AC">
        <w:rPr>
          <w:rFonts w:asciiTheme="minorHAnsi" w:eastAsiaTheme="minorHAnsi" w:hAnsiTheme="minorHAnsi" w:cstheme="minorHAnsi"/>
          <w:b/>
          <w:i/>
          <w:color w:val="E36C0A" w:themeColor="accent6" w:themeShade="BF"/>
          <w:sz w:val="24"/>
          <w:szCs w:val="24"/>
          <w:lang w:eastAsia="en-US"/>
        </w:rPr>
        <w:t xml:space="preserve"> car </w:t>
      </w:r>
      <w:r>
        <w:rPr>
          <w:rFonts w:asciiTheme="minorHAnsi" w:eastAsiaTheme="minorHAnsi" w:hAnsiTheme="minorHAnsi" w:cstheme="minorHAnsi"/>
          <w:b/>
          <w:i/>
          <w:color w:val="E36C0A" w:themeColor="accent6" w:themeShade="BF"/>
          <w:sz w:val="24"/>
          <w:szCs w:val="24"/>
          <w:lang w:eastAsia="en-US"/>
        </w:rPr>
        <w:t>cette part</w:t>
      </w:r>
      <w:r w:rsidRPr="005F20AC">
        <w:rPr>
          <w:rFonts w:asciiTheme="minorHAnsi" w:eastAsiaTheme="minorHAnsi" w:hAnsiTheme="minorHAnsi" w:cstheme="minorHAnsi"/>
          <w:b/>
          <w:i/>
          <w:color w:val="E36C0A" w:themeColor="accent6" w:themeShade="BF"/>
          <w:sz w:val="24"/>
          <w:szCs w:val="24"/>
          <w:lang w:eastAsia="en-US"/>
        </w:rPr>
        <w:t xml:space="preserve"> n’est pas assis</w:t>
      </w:r>
      <w:r>
        <w:rPr>
          <w:rFonts w:asciiTheme="minorHAnsi" w:eastAsiaTheme="minorHAnsi" w:hAnsiTheme="minorHAnsi" w:cstheme="minorHAnsi"/>
          <w:b/>
          <w:i/>
          <w:color w:val="E36C0A" w:themeColor="accent6" w:themeShade="BF"/>
          <w:sz w:val="24"/>
          <w:szCs w:val="24"/>
          <w:lang w:eastAsia="en-US"/>
        </w:rPr>
        <w:t>e</w:t>
      </w:r>
      <w:r w:rsidRPr="005F20AC">
        <w:rPr>
          <w:rFonts w:asciiTheme="minorHAnsi" w:eastAsiaTheme="minorHAnsi" w:hAnsiTheme="minorHAnsi" w:cstheme="minorHAnsi"/>
          <w:b/>
          <w:i/>
          <w:color w:val="E36C0A" w:themeColor="accent6" w:themeShade="BF"/>
          <w:sz w:val="24"/>
          <w:szCs w:val="24"/>
          <w:lang w:eastAsia="en-US"/>
        </w:rPr>
        <w:t xml:space="preserve"> sur l’exercice des fonctions comme </w:t>
      </w:r>
      <w:r>
        <w:rPr>
          <w:rFonts w:asciiTheme="minorHAnsi" w:eastAsiaTheme="minorHAnsi" w:hAnsiTheme="minorHAnsi" w:cstheme="minorHAnsi"/>
          <w:b/>
          <w:i/>
          <w:color w:val="E36C0A" w:themeColor="accent6" w:themeShade="BF"/>
          <w:sz w:val="24"/>
          <w:szCs w:val="24"/>
          <w:lang w:eastAsia="en-US"/>
        </w:rPr>
        <w:t>la part fixe</w:t>
      </w:r>
      <w:r w:rsidRPr="005F20AC">
        <w:rPr>
          <w:rFonts w:asciiTheme="minorHAnsi" w:eastAsiaTheme="minorHAnsi" w:hAnsiTheme="minorHAnsi" w:cstheme="minorHAnsi"/>
          <w:b/>
          <w:i/>
          <w:color w:val="E36C0A" w:themeColor="accent6" w:themeShade="BF"/>
          <w:sz w:val="24"/>
          <w:szCs w:val="24"/>
          <w:lang w:eastAsia="en-US"/>
        </w:rPr>
        <w:t xml:space="preserve"> mais sur l’engagement professionnel et la manière de servir. </w:t>
      </w:r>
    </w:p>
    <w:p w14:paraId="6ECBB748" w14:textId="77777777" w:rsidR="00B779B3" w:rsidRDefault="00B779B3" w:rsidP="00D35993">
      <w:pPr>
        <w:spacing w:after="0"/>
        <w:rPr>
          <w:rFonts w:asciiTheme="minorHAnsi" w:hAnsiTheme="minorHAnsi" w:cstheme="minorHAnsi"/>
          <w:kern w:val="20"/>
          <w:sz w:val="24"/>
          <w:szCs w:val="24"/>
        </w:rPr>
      </w:pPr>
    </w:p>
    <w:p w14:paraId="689258E3" w14:textId="6E60FECA" w:rsidR="00D77996" w:rsidRPr="00E2759A" w:rsidRDefault="00D77996" w:rsidP="00D77996">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6</w:t>
      </w:r>
      <w:r w:rsidRPr="00E2759A">
        <w:rPr>
          <w:rFonts w:asciiTheme="minorHAnsi" w:hAnsiTheme="minorHAnsi" w:cstheme="minorHAnsi"/>
          <w:u w:val="none"/>
        </w:rPr>
        <w:t xml:space="preserve"> :</w:t>
      </w:r>
      <w:r>
        <w:rPr>
          <w:rFonts w:asciiTheme="minorHAnsi" w:hAnsiTheme="minorHAnsi" w:cstheme="minorHAnsi"/>
          <w:u w:val="none"/>
        </w:rPr>
        <w:t xml:space="preserve"> CUMUL</w:t>
      </w:r>
    </w:p>
    <w:p w14:paraId="606C01F5" w14:textId="0DAEC75A"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L’indemnité spéciale de fonction et d’engagement se substitue aux primes et indemnités liées aux fonctions et à la manière de servir, telles que l’indemnité d’administration et de technicité et l’indemnité spéciale mensuelle de fonction. </w:t>
      </w:r>
    </w:p>
    <w:p w14:paraId="183A4C56" w14:textId="2F72C832"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lastRenderedPageBreak/>
        <w:t>L’indemnité spéciale de fonction et d’engagement est en revanche cumulable avec les indemnités horaires pour travaux supplémentaires</w:t>
      </w:r>
      <w:r w:rsidR="00070C5D">
        <w:rPr>
          <w:rFonts w:asciiTheme="minorHAnsi" w:hAnsiTheme="minorHAnsi" w:cstheme="minorHAnsi"/>
          <w:kern w:val="20"/>
          <w:sz w:val="24"/>
          <w:szCs w:val="24"/>
        </w:rPr>
        <w:t xml:space="preserve"> attribuées dans les conditions fixées par le décret n° 2002-60 du 14 janvier 2002</w:t>
      </w:r>
      <w:r>
        <w:rPr>
          <w:rFonts w:asciiTheme="minorHAnsi" w:hAnsiTheme="minorHAnsi" w:cstheme="minorHAnsi"/>
          <w:kern w:val="20"/>
          <w:sz w:val="24"/>
          <w:szCs w:val="24"/>
        </w:rPr>
        <w:t xml:space="preserve"> et les primes et indemnités compensant le travail de nuit, le dimanche ou les jours fériés ainsi que les astreintes et le dépassement régulier du cycle de travail, tel que défini par le décret n° 2001-623 du 12 juillet 2001.</w:t>
      </w:r>
    </w:p>
    <w:p w14:paraId="09BBF643" w14:textId="0AE32782" w:rsidR="00D77996" w:rsidRDefault="00D77996" w:rsidP="00D35993">
      <w:pPr>
        <w:spacing w:after="0"/>
        <w:rPr>
          <w:rFonts w:asciiTheme="minorHAnsi" w:hAnsiTheme="minorHAnsi" w:cstheme="minorHAnsi"/>
          <w:kern w:val="20"/>
          <w:sz w:val="24"/>
          <w:szCs w:val="24"/>
        </w:rPr>
      </w:pPr>
    </w:p>
    <w:p w14:paraId="06C16760" w14:textId="28F88298" w:rsidR="00BF5D1E" w:rsidRPr="00E2759A" w:rsidRDefault="00BF5D1E" w:rsidP="00BF5D1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7</w:t>
      </w:r>
      <w:r w:rsidRPr="00E2759A">
        <w:rPr>
          <w:rFonts w:asciiTheme="minorHAnsi" w:hAnsiTheme="minorHAnsi" w:cstheme="minorHAnsi"/>
          <w:u w:val="none"/>
        </w:rPr>
        <w:t xml:space="preserve"> :</w:t>
      </w:r>
      <w:r>
        <w:rPr>
          <w:rFonts w:asciiTheme="minorHAnsi" w:hAnsiTheme="minorHAnsi" w:cstheme="minorHAnsi"/>
          <w:u w:val="none"/>
        </w:rPr>
        <w:t xml:space="preserve"> DISPOSITIF DE SAUVEGARDE</w:t>
      </w:r>
    </w:p>
    <w:p w14:paraId="2AFDE6C2" w14:textId="6F855312" w:rsidR="005F20AC" w:rsidRDefault="00BF5D1E"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Lors de la première application </w:t>
      </w:r>
      <w:r w:rsidR="00FE432C">
        <w:rPr>
          <w:rFonts w:asciiTheme="minorHAnsi" w:hAnsiTheme="minorHAnsi" w:cstheme="minorHAnsi"/>
          <w:kern w:val="20"/>
          <w:sz w:val="24"/>
          <w:szCs w:val="24"/>
        </w:rPr>
        <w:t>de l’ISFE</w:t>
      </w:r>
      <w:r>
        <w:rPr>
          <w:rFonts w:asciiTheme="minorHAnsi" w:hAnsiTheme="minorHAnsi" w:cstheme="minorHAnsi"/>
          <w:kern w:val="20"/>
          <w:sz w:val="24"/>
          <w:szCs w:val="24"/>
        </w:rPr>
        <w:t>, si</w:t>
      </w:r>
      <w:r w:rsidR="00FE432C">
        <w:rPr>
          <w:rFonts w:asciiTheme="minorHAnsi" w:hAnsiTheme="minorHAnsi" w:cstheme="minorHAnsi"/>
          <w:kern w:val="20"/>
          <w:sz w:val="24"/>
          <w:szCs w:val="24"/>
        </w:rPr>
        <w:t>, après application de la part variable,</w:t>
      </w:r>
      <w:r>
        <w:rPr>
          <w:rFonts w:asciiTheme="minorHAnsi" w:hAnsiTheme="minorHAnsi" w:cstheme="minorHAnsi"/>
          <w:kern w:val="20"/>
          <w:sz w:val="24"/>
          <w:szCs w:val="24"/>
        </w:rPr>
        <w:t xml:space="preserve"> le montant </w:t>
      </w:r>
      <w:r w:rsidR="00FE432C">
        <w:rPr>
          <w:rFonts w:asciiTheme="minorHAnsi" w:hAnsiTheme="minorHAnsi" w:cstheme="minorHAnsi"/>
          <w:kern w:val="20"/>
          <w:sz w:val="24"/>
          <w:szCs w:val="24"/>
        </w:rPr>
        <w:t>indemnitaire mensuel perçu par le fonctionnaire</w:t>
      </w:r>
      <w:r>
        <w:rPr>
          <w:rFonts w:asciiTheme="minorHAnsi" w:hAnsiTheme="minorHAnsi" w:cstheme="minorHAnsi"/>
          <w:kern w:val="20"/>
          <w:sz w:val="24"/>
          <w:szCs w:val="24"/>
        </w:rPr>
        <w:t xml:space="preserve"> est inférieur à celui perçu au titre du régime indemnitaire antérieur, à l’exclusion de tout versement à caractère exceptionnel, </w:t>
      </w:r>
      <w:r w:rsidR="00FE432C">
        <w:rPr>
          <w:rFonts w:asciiTheme="minorHAnsi" w:hAnsiTheme="minorHAnsi" w:cstheme="minorHAnsi"/>
          <w:kern w:val="20"/>
          <w:sz w:val="24"/>
          <w:szCs w:val="24"/>
        </w:rPr>
        <w:t>ce montant précédemment perçu peut être conservé</w:t>
      </w:r>
      <w:r>
        <w:rPr>
          <w:rFonts w:asciiTheme="minorHAnsi" w:hAnsiTheme="minorHAnsi" w:cstheme="minorHAnsi"/>
          <w:kern w:val="20"/>
          <w:sz w:val="24"/>
          <w:szCs w:val="24"/>
        </w:rPr>
        <w:t xml:space="preserve">, à titre individuel et au titre de la part variable, </w:t>
      </w:r>
      <w:r w:rsidRPr="00BF5D1E">
        <w:rPr>
          <w:rFonts w:asciiTheme="minorHAnsi" w:eastAsiaTheme="minorHAnsi" w:hAnsiTheme="minorHAnsi" w:cstheme="minorHAnsi"/>
          <w:b/>
          <w:i/>
          <w:sz w:val="24"/>
          <w:szCs w:val="24"/>
          <w:lang w:eastAsia="en-US"/>
        </w:rPr>
        <w:t xml:space="preserve">au-delà des 50% mentionnés à l’article </w:t>
      </w:r>
      <w:r w:rsidR="008D3DDF">
        <w:rPr>
          <w:rFonts w:asciiTheme="minorHAnsi" w:eastAsiaTheme="minorHAnsi" w:hAnsiTheme="minorHAnsi" w:cstheme="minorHAnsi"/>
          <w:b/>
          <w:i/>
          <w:sz w:val="24"/>
          <w:szCs w:val="24"/>
          <w:lang w:eastAsia="en-US"/>
        </w:rPr>
        <w:t>4</w:t>
      </w:r>
      <w:r w:rsidRPr="00BF5D1E">
        <w:rPr>
          <w:rFonts w:asciiTheme="minorHAnsi" w:eastAsiaTheme="minorHAnsi" w:hAnsiTheme="minorHAnsi" w:cstheme="minorHAnsi"/>
          <w:b/>
          <w:i/>
          <w:sz w:val="24"/>
          <w:szCs w:val="24"/>
          <w:lang w:eastAsia="en-US"/>
        </w:rPr>
        <w:t xml:space="preserve"> </w:t>
      </w:r>
      <w:r w:rsidR="0045680A">
        <w:rPr>
          <w:rFonts w:asciiTheme="minorHAnsi" w:eastAsiaTheme="minorHAnsi" w:hAnsiTheme="minorHAnsi" w:cstheme="minorHAnsi"/>
          <w:b/>
          <w:i/>
          <w:sz w:val="24"/>
          <w:szCs w:val="24"/>
          <w:lang w:eastAsia="en-US"/>
        </w:rPr>
        <w:t>(</w:t>
      </w:r>
      <w:r>
        <w:rPr>
          <w:rFonts w:asciiTheme="minorHAnsi" w:eastAsiaTheme="minorHAnsi" w:hAnsiTheme="minorHAnsi" w:cstheme="minorHAnsi"/>
          <w:b/>
          <w:i/>
          <w:sz w:val="24"/>
          <w:szCs w:val="24"/>
          <w:lang w:eastAsia="en-US"/>
        </w:rPr>
        <w:t>le cas échéant)</w:t>
      </w:r>
      <w:r w:rsidRPr="00BF5D1E">
        <w:rPr>
          <w:rFonts w:asciiTheme="minorHAnsi" w:hAnsiTheme="minorHAnsi" w:cstheme="minorHAnsi"/>
          <w:kern w:val="20"/>
          <w:sz w:val="24"/>
          <w:szCs w:val="24"/>
        </w:rPr>
        <w:t xml:space="preserve">. </w:t>
      </w:r>
      <w:r>
        <w:rPr>
          <w:rFonts w:asciiTheme="minorHAnsi" w:hAnsiTheme="minorHAnsi" w:cstheme="minorHAnsi"/>
          <w:kern w:val="20"/>
          <w:sz w:val="24"/>
          <w:szCs w:val="24"/>
        </w:rPr>
        <w:t>Le montant conservé ne pourra toutefois pas dépasser la limite du plafond fixé par l’organe délibérant.</w:t>
      </w:r>
    </w:p>
    <w:p w14:paraId="4F2BD881" w14:textId="77777777" w:rsidR="00B779B3" w:rsidRDefault="00B779B3" w:rsidP="00D35993">
      <w:pPr>
        <w:spacing w:after="0"/>
        <w:rPr>
          <w:rFonts w:asciiTheme="minorHAnsi" w:hAnsiTheme="minorHAnsi" w:cstheme="minorHAnsi"/>
          <w:kern w:val="20"/>
          <w:sz w:val="24"/>
          <w:szCs w:val="24"/>
        </w:rPr>
      </w:pPr>
    </w:p>
    <w:p w14:paraId="7EE83996" w14:textId="77777777" w:rsidR="005F20AC" w:rsidRPr="005B4919" w:rsidRDefault="005F20AC" w:rsidP="00D35993">
      <w:pPr>
        <w:spacing w:after="0"/>
        <w:rPr>
          <w:rFonts w:asciiTheme="minorHAnsi" w:hAnsiTheme="minorHAnsi" w:cstheme="minorHAnsi"/>
          <w:kern w:val="20"/>
          <w:sz w:val="24"/>
          <w:szCs w:val="24"/>
        </w:rPr>
      </w:pPr>
    </w:p>
    <w:p w14:paraId="374342F7" w14:textId="0E0063C6" w:rsidR="008B736F" w:rsidRPr="005B4919" w:rsidRDefault="00067E2C"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D’inscrire au budget les crédits correspondants ;</w:t>
      </w:r>
    </w:p>
    <w:p w14:paraId="69D44760" w14:textId="77777777" w:rsidR="008B736F" w:rsidRPr="005B4919" w:rsidRDefault="008B736F" w:rsidP="008B736F">
      <w:pPr>
        <w:pStyle w:val="Paragraphedeliste"/>
        <w:rPr>
          <w:rFonts w:asciiTheme="minorHAnsi" w:hAnsiTheme="minorHAnsi" w:cstheme="minorHAnsi"/>
          <w:kern w:val="20"/>
          <w:sz w:val="24"/>
          <w:szCs w:val="24"/>
        </w:rPr>
      </w:pPr>
    </w:p>
    <w:p w14:paraId="4000629F" w14:textId="41C80F1E" w:rsidR="008B736F" w:rsidRPr="005B4919" w:rsidRDefault="008B736F"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D’autoriser l’autorité territoriale à fixer par arrêté individuel le montant perçu par chaque agent au titre de ces deux parts dans le respect des principes définis ci-dessus</w:t>
      </w:r>
      <w:r w:rsidR="008D3DDF">
        <w:rPr>
          <w:rFonts w:asciiTheme="minorHAnsi" w:hAnsiTheme="minorHAnsi" w:cstheme="minorHAnsi"/>
          <w:kern w:val="20"/>
          <w:sz w:val="24"/>
          <w:szCs w:val="24"/>
        </w:rPr>
        <w:t> ;</w:t>
      </w:r>
    </w:p>
    <w:p w14:paraId="3205464A" w14:textId="77777777" w:rsidR="008B736F" w:rsidRPr="005B4919" w:rsidRDefault="008B736F" w:rsidP="008B736F">
      <w:pPr>
        <w:pStyle w:val="Paragraphedeliste"/>
        <w:rPr>
          <w:rFonts w:asciiTheme="minorHAnsi" w:hAnsiTheme="minorHAnsi" w:cstheme="minorHAnsi"/>
          <w:kern w:val="20"/>
          <w:sz w:val="24"/>
          <w:szCs w:val="24"/>
        </w:rPr>
      </w:pPr>
    </w:p>
    <w:p w14:paraId="5EE8A5A4" w14:textId="77777777" w:rsidR="008D3DDF" w:rsidRDefault="00067E2C" w:rsidP="008D3DD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D’autoriser l’autorité territoriale à signer tout </w:t>
      </w:r>
      <w:r w:rsidR="008B736F" w:rsidRPr="005B4919">
        <w:rPr>
          <w:rFonts w:asciiTheme="minorHAnsi" w:hAnsiTheme="minorHAnsi" w:cstheme="minorHAnsi"/>
          <w:kern w:val="20"/>
          <w:sz w:val="24"/>
          <w:szCs w:val="24"/>
        </w:rPr>
        <w:t xml:space="preserve">autre </w:t>
      </w:r>
      <w:r w:rsidRPr="005B4919">
        <w:rPr>
          <w:rFonts w:asciiTheme="minorHAnsi" w:hAnsiTheme="minorHAnsi" w:cstheme="minorHAnsi"/>
          <w:kern w:val="20"/>
          <w:sz w:val="24"/>
          <w:szCs w:val="24"/>
        </w:rPr>
        <w:t>acte y afférent ;</w:t>
      </w:r>
    </w:p>
    <w:p w14:paraId="1E27751F" w14:textId="77777777" w:rsidR="008D3DDF" w:rsidRPr="008D3DDF" w:rsidRDefault="008D3DDF" w:rsidP="008D3DDF">
      <w:pPr>
        <w:pStyle w:val="Paragraphedeliste"/>
        <w:rPr>
          <w:rFonts w:asciiTheme="minorHAnsi" w:hAnsiTheme="minorHAnsi" w:cstheme="minorHAnsi"/>
          <w:kern w:val="20"/>
          <w:sz w:val="24"/>
          <w:szCs w:val="24"/>
        </w:rPr>
      </w:pPr>
    </w:p>
    <w:p w14:paraId="34AC2167" w14:textId="7DE7A1AA" w:rsidR="00067E2C" w:rsidRPr="008D3DDF" w:rsidRDefault="00067E2C" w:rsidP="008D3DDF">
      <w:pPr>
        <w:pStyle w:val="Paragraphedeliste"/>
        <w:numPr>
          <w:ilvl w:val="0"/>
          <w:numId w:val="14"/>
        </w:numPr>
        <w:spacing w:after="0"/>
        <w:rPr>
          <w:rFonts w:asciiTheme="minorHAnsi" w:hAnsiTheme="minorHAnsi" w:cstheme="minorHAnsi"/>
          <w:kern w:val="20"/>
          <w:sz w:val="24"/>
          <w:szCs w:val="24"/>
        </w:rPr>
      </w:pPr>
      <w:r w:rsidRPr="008D3DDF">
        <w:rPr>
          <w:rFonts w:asciiTheme="minorHAnsi" w:hAnsiTheme="minorHAnsi" w:cstheme="minorHAnsi"/>
          <w:kern w:val="20"/>
          <w:sz w:val="24"/>
          <w:szCs w:val="24"/>
        </w:rPr>
        <w:t xml:space="preserve">De charger l’autorité territoriale de veiller à la bonne exécution de cette délibération, qui prend effet à partir du </w:t>
      </w:r>
      <w:r w:rsidR="008D3DDF"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008D3DDF" w:rsidRPr="008D3DDF">
        <w:rPr>
          <w:rFonts w:asciiTheme="minorHAnsi" w:eastAsiaTheme="minorHAnsi" w:hAnsiTheme="minorHAnsi" w:cstheme="minorHAnsi"/>
          <w:b/>
          <w:i/>
          <w:color w:val="E36C0A" w:themeColor="accent6" w:themeShade="BF"/>
          <w:sz w:val="24"/>
          <w:szCs w:val="24"/>
          <w:lang w:eastAsia="en-US"/>
        </w:rPr>
        <w:t xml:space="preserve">(Il n’est pas possible </w:t>
      </w:r>
      <w:r w:rsidR="005D43E9">
        <w:rPr>
          <w:rFonts w:asciiTheme="minorHAnsi" w:eastAsiaTheme="minorHAnsi" w:hAnsiTheme="minorHAnsi" w:cstheme="minorHAnsi"/>
          <w:b/>
          <w:i/>
          <w:color w:val="E36C0A" w:themeColor="accent6" w:themeShade="BF"/>
          <w:sz w:val="24"/>
          <w:szCs w:val="24"/>
          <w:lang w:eastAsia="en-US"/>
        </w:rPr>
        <w:t>d’appliquer et de verser</w:t>
      </w:r>
      <w:r w:rsidR="008D3DDF" w:rsidRPr="008D3DDF">
        <w:rPr>
          <w:rFonts w:asciiTheme="minorHAnsi" w:eastAsiaTheme="minorHAnsi" w:hAnsiTheme="minorHAnsi" w:cstheme="minorHAnsi"/>
          <w:b/>
          <w:i/>
          <w:color w:val="E36C0A" w:themeColor="accent6" w:themeShade="BF"/>
          <w:sz w:val="24"/>
          <w:szCs w:val="24"/>
          <w:lang w:eastAsia="en-US"/>
        </w:rPr>
        <w:t xml:space="preserve"> cette indemnité de manière rétroactive. Afin de faciliter </w:t>
      </w:r>
      <w:r w:rsidR="006E37DC">
        <w:rPr>
          <w:rFonts w:asciiTheme="minorHAnsi" w:eastAsiaTheme="minorHAnsi" w:hAnsiTheme="minorHAnsi" w:cstheme="minorHAnsi"/>
          <w:b/>
          <w:i/>
          <w:color w:val="E36C0A" w:themeColor="accent6" w:themeShade="BF"/>
          <w:sz w:val="24"/>
          <w:szCs w:val="24"/>
          <w:lang w:eastAsia="en-US"/>
        </w:rPr>
        <w:t>s</w:t>
      </w:r>
      <w:r w:rsidR="008D3DDF" w:rsidRPr="008D3DDF">
        <w:rPr>
          <w:rFonts w:asciiTheme="minorHAnsi" w:eastAsiaTheme="minorHAnsi" w:hAnsiTheme="minorHAnsi" w:cstheme="minorHAnsi"/>
          <w:b/>
          <w:i/>
          <w:color w:val="E36C0A" w:themeColor="accent6" w:themeShade="BF"/>
          <w:sz w:val="24"/>
          <w:szCs w:val="24"/>
          <w:lang w:eastAsia="en-US"/>
        </w:rPr>
        <w:t>a gestion en paie, il est conseillé de la verser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w:t>
      </w:r>
      <w:r w:rsidR="00722810">
        <w:rPr>
          <w:rFonts w:asciiTheme="minorHAnsi" w:eastAsiaTheme="minorHAnsi" w:hAnsiTheme="minorHAnsi" w:cstheme="minorHAnsi"/>
          <w:b/>
          <w:i/>
          <w:color w:val="E36C0A" w:themeColor="accent6" w:themeShade="BF"/>
          <w:sz w:val="24"/>
          <w:szCs w:val="24"/>
          <w:lang w:eastAsia="en-US"/>
        </w:rPr>
        <w:t xml:space="preserve">jour </w:t>
      </w:r>
      <w:r w:rsidR="008D3DDF" w:rsidRPr="008D3DDF">
        <w:rPr>
          <w:rFonts w:asciiTheme="minorHAnsi" w:eastAsiaTheme="minorHAnsi" w:hAnsiTheme="minorHAnsi" w:cstheme="minorHAnsi"/>
          <w:b/>
          <w:i/>
          <w:color w:val="E36C0A" w:themeColor="accent6" w:themeShade="BF"/>
          <w:sz w:val="24"/>
          <w:szCs w:val="24"/>
          <w:lang w:eastAsia="en-US"/>
        </w:rPr>
        <w:t>du mois suivant</w:t>
      </w:r>
      <w:r w:rsidR="00125E5F">
        <w:rPr>
          <w:rFonts w:asciiTheme="minorHAnsi" w:eastAsiaTheme="minorHAnsi" w:hAnsiTheme="minorHAnsi" w:cstheme="minorHAnsi"/>
          <w:b/>
          <w:i/>
          <w:color w:val="E36C0A" w:themeColor="accent6" w:themeShade="BF"/>
          <w:sz w:val="24"/>
          <w:szCs w:val="24"/>
          <w:lang w:eastAsia="en-US"/>
        </w:rPr>
        <w:t xml:space="preserve"> son </w:t>
      </w:r>
      <w:r w:rsidR="008D3DDF" w:rsidRPr="008D3DDF">
        <w:rPr>
          <w:rFonts w:asciiTheme="minorHAnsi" w:eastAsiaTheme="minorHAnsi" w:hAnsiTheme="minorHAnsi" w:cstheme="minorHAnsi"/>
          <w:b/>
          <w:i/>
          <w:color w:val="E36C0A" w:themeColor="accent6" w:themeShade="BF"/>
          <w:sz w:val="24"/>
          <w:szCs w:val="24"/>
          <w:lang w:eastAsia="en-US"/>
        </w:rPr>
        <w:t>instauration par l’organe délibérant. Par exemple, si le conseil délibère le 15 octobre, après avis favorable du CST, il est conseillé d’instaurer cette prime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novembre)</w:t>
      </w:r>
      <w:r w:rsidR="008D3DDF" w:rsidRPr="008D3DDF">
        <w:rPr>
          <w:rFonts w:asciiTheme="minorHAnsi" w:hAnsiTheme="minorHAnsi" w:cstheme="minorHAnsi"/>
          <w:kern w:val="20"/>
          <w:sz w:val="24"/>
          <w:szCs w:val="24"/>
        </w:rPr>
        <w:t>.</w:t>
      </w:r>
    </w:p>
    <w:p w14:paraId="33C1CCA0" w14:textId="77777777" w:rsidR="003C45F6" w:rsidRPr="005B4919" w:rsidRDefault="003C45F6" w:rsidP="00067E2C">
      <w:pPr>
        <w:pStyle w:val="Paragraphedeliste"/>
        <w:spacing w:after="0"/>
        <w:ind w:left="643"/>
        <w:rPr>
          <w:rFonts w:asciiTheme="minorHAnsi" w:hAnsiTheme="minorHAnsi" w:cstheme="minorHAnsi"/>
          <w:kern w:val="20"/>
          <w:sz w:val="24"/>
          <w:szCs w:val="24"/>
        </w:rPr>
      </w:pPr>
    </w:p>
    <w:p w14:paraId="06CF2858" w14:textId="77777777" w:rsidR="00892223" w:rsidRPr="005B4919" w:rsidRDefault="009A4A04" w:rsidP="00A448C7">
      <w:pPr>
        <w:pStyle w:val="articlecontenu"/>
        <w:spacing w:after="0"/>
        <w:ind w:left="5664" w:firstLine="0"/>
        <w:rPr>
          <w:rFonts w:asciiTheme="minorHAnsi" w:hAnsiTheme="minorHAnsi" w:cstheme="minorHAnsi"/>
          <w:color w:val="5F497A"/>
          <w:kern w:val="20"/>
          <w:sz w:val="24"/>
          <w:szCs w:val="24"/>
        </w:rPr>
      </w:pP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p>
    <w:p w14:paraId="06CF2859" w14:textId="5A31BC84" w:rsidR="00892223" w:rsidRPr="005B4919" w:rsidRDefault="00892223" w:rsidP="008D3DDF">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008D3DDF" w:rsidRPr="008D3DDF">
        <w:rPr>
          <w:rFonts w:asciiTheme="minorHAnsi" w:hAnsiTheme="minorHAnsi" w:cstheme="minorHAnsi"/>
          <w:color w:val="1F497D" w:themeColor="text2"/>
          <w:kern w:val="20"/>
          <w:sz w:val="24"/>
          <w:szCs w:val="22"/>
        </w:rPr>
        <w:t>......................................</w:t>
      </w:r>
      <w:r w:rsidR="008D3DDF">
        <w:rPr>
          <w:rFonts w:asciiTheme="minorHAnsi" w:hAnsiTheme="minorHAnsi" w:cstheme="minorHAnsi"/>
          <w:color w:val="1F497D" w:themeColor="text2"/>
          <w:kern w:val="20"/>
          <w:sz w:val="24"/>
          <w:szCs w:val="22"/>
        </w:rPr>
        <w:t>,</w:t>
      </w:r>
      <w:r w:rsidR="008D3DDF"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008D3DDF"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06CF285A"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06CF285B"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lisibles et signature)</w:t>
      </w:r>
    </w:p>
    <w:p w14:paraId="06CF285C"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06CF285D"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06CF285E"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qualité lisibles et signature)</w:t>
      </w:r>
    </w:p>
    <w:p w14:paraId="06CF285F" w14:textId="77777777" w:rsidR="009A4A04" w:rsidRPr="005B4919" w:rsidRDefault="009A4A04" w:rsidP="00A448C7">
      <w:pPr>
        <w:spacing w:after="0"/>
        <w:outlineLvl w:val="0"/>
        <w:rPr>
          <w:rFonts w:asciiTheme="minorHAnsi" w:hAnsiTheme="minorHAnsi" w:cstheme="minorHAnsi"/>
          <w:szCs w:val="22"/>
        </w:rPr>
      </w:pPr>
    </w:p>
    <w:p w14:paraId="06CF2860" w14:textId="77777777" w:rsidR="00937908" w:rsidRPr="008D3DDF" w:rsidRDefault="00937908" w:rsidP="00937908">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06CF2861" w14:textId="3AD3110D" w:rsidR="00937908" w:rsidRPr="005B4919" w:rsidRDefault="005D0A2B" w:rsidP="00937908">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Certifie</w:t>
      </w:r>
      <w:r w:rsidR="00937908" w:rsidRPr="005B4919">
        <w:rPr>
          <w:rFonts w:asciiTheme="minorHAnsi" w:eastAsia="Calibri" w:hAnsiTheme="minorHAnsi" w:cstheme="minorHAnsi"/>
          <w:color w:val="1F497D" w:themeColor="text2"/>
          <w:kern w:val="20"/>
          <w:sz w:val="16"/>
          <w:szCs w:val="16"/>
        </w:rPr>
        <w:t xml:space="preserve"> le caractère exécutoire de cet acte</w:t>
      </w:r>
      <w:r w:rsidR="00842B3D" w:rsidRPr="005B4919">
        <w:rPr>
          <w:rFonts w:asciiTheme="minorHAnsi" w:eastAsia="Calibri" w:hAnsiTheme="minorHAnsi" w:cstheme="minorHAnsi"/>
          <w:color w:val="1F497D" w:themeColor="text2"/>
          <w:kern w:val="20"/>
          <w:sz w:val="16"/>
          <w:szCs w:val="16"/>
        </w:rPr>
        <w:t xml:space="preserve">, </w:t>
      </w:r>
      <w:r w:rsidR="00937908" w:rsidRPr="005B4919">
        <w:rPr>
          <w:rFonts w:asciiTheme="minorHAnsi" w:eastAsia="Calibri" w:hAnsiTheme="minorHAnsi" w:cstheme="minorHAnsi"/>
          <w:color w:val="1F497D" w:themeColor="text2"/>
          <w:kern w:val="20"/>
          <w:sz w:val="16"/>
          <w:szCs w:val="16"/>
        </w:rPr>
        <w:t xml:space="preserve"> </w:t>
      </w:r>
    </w:p>
    <w:p w14:paraId="06CF2862" w14:textId="50D6E01A" w:rsidR="00937908" w:rsidRPr="005B4919" w:rsidRDefault="005D0A2B" w:rsidP="00937908">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Informe</w:t>
      </w:r>
      <w:r w:rsidR="00937908" w:rsidRPr="005B4919">
        <w:rPr>
          <w:rFonts w:asciiTheme="minorHAnsi" w:eastAsia="Calibri" w:hAnsiTheme="minorHAnsi" w:cstheme="minorHAnsi"/>
          <w:color w:val="1F497D" w:themeColor="text2"/>
          <w:kern w:val="20"/>
          <w:lang w:eastAsia="fr-FR"/>
        </w:rPr>
        <w:t xml:space="preserve"> que celui-ci peut faire l’objet d’un recours pour excès de pouvoir auprès du tribunal administratif de Grenoble dans un délai de deux mois à compter de l’obtention de ce caractère </w:t>
      </w:r>
      <w:r w:rsidR="00842B3D" w:rsidRPr="005B4919">
        <w:rPr>
          <w:rFonts w:asciiTheme="minorHAnsi" w:eastAsia="Calibri" w:hAnsiTheme="minorHAnsi" w:cstheme="minorHAnsi"/>
          <w:color w:val="1F497D" w:themeColor="text2"/>
          <w:kern w:val="20"/>
          <w:lang w:eastAsia="fr-FR"/>
        </w:rPr>
        <w:t xml:space="preserve">exécutoire. </w:t>
      </w:r>
      <w:r w:rsidR="00937908" w:rsidRPr="005B4919">
        <w:rPr>
          <w:rFonts w:asciiTheme="minorHAnsi" w:eastAsia="Calibri" w:hAnsiTheme="minorHAnsi" w:cstheme="minorHAnsi"/>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5B4919">
          <w:rPr>
            <w:rFonts w:asciiTheme="minorHAnsi" w:eastAsia="Calibri" w:hAnsiTheme="minorHAnsi" w:cstheme="minorHAnsi"/>
            <w:b/>
            <w:color w:val="1F497D" w:themeColor="text2"/>
            <w:kern w:val="20"/>
            <w:u w:val="single"/>
            <w:lang w:eastAsia="fr-FR"/>
          </w:rPr>
          <w:t>www.telerecours.fr</w:t>
        </w:r>
      </w:hyperlink>
    </w:p>
    <w:p w14:paraId="06CF2863" w14:textId="77777777" w:rsidR="00937908" w:rsidRPr="005B4919" w:rsidRDefault="00937908" w:rsidP="00A448C7">
      <w:pPr>
        <w:spacing w:after="0"/>
        <w:outlineLvl w:val="0"/>
        <w:rPr>
          <w:rFonts w:asciiTheme="minorHAnsi" w:hAnsiTheme="minorHAnsi" w:cstheme="minorHAnsi"/>
          <w:kern w:val="20"/>
          <w:szCs w:val="22"/>
        </w:rPr>
      </w:pPr>
    </w:p>
    <w:p w14:paraId="06CF2864" w14:textId="77777777" w:rsidR="00F57B2B" w:rsidRPr="005B4919" w:rsidRDefault="00F57B2B" w:rsidP="00A448C7">
      <w:pPr>
        <w:spacing w:after="0"/>
        <w:outlineLvl w:val="0"/>
        <w:rPr>
          <w:rFonts w:asciiTheme="minorHAnsi" w:hAnsiTheme="minorHAnsi" w:cstheme="minorHAnsi"/>
          <w:kern w:val="20"/>
          <w:szCs w:val="22"/>
        </w:rPr>
      </w:pPr>
    </w:p>
    <w:p w14:paraId="06CF2865" w14:textId="4BB6F749" w:rsidR="007A0F13" w:rsidRPr="005B4919" w:rsidRDefault="007A0F13" w:rsidP="00A448C7">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008D3DDF" w:rsidRPr="008D3DDF">
        <w:rPr>
          <w:rFonts w:asciiTheme="minorHAnsi" w:hAnsiTheme="minorHAnsi" w:cstheme="minorHAnsi"/>
          <w:color w:val="1F497D" w:themeColor="text2"/>
          <w:kern w:val="20"/>
          <w:sz w:val="24"/>
          <w:szCs w:val="22"/>
        </w:rPr>
        <w:t>......................................</w:t>
      </w:r>
    </w:p>
    <w:p w14:paraId="0E195A50" w14:textId="3F54DB6B" w:rsidR="009A4A04" w:rsidRPr="005B4919" w:rsidRDefault="007A0F13" w:rsidP="004B0F32">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008D3DDF" w:rsidRPr="008D3DDF">
        <w:rPr>
          <w:rFonts w:asciiTheme="minorHAnsi" w:hAnsiTheme="minorHAnsi" w:cstheme="minorHAnsi"/>
          <w:color w:val="1F497D" w:themeColor="text2"/>
          <w:kern w:val="20"/>
          <w:sz w:val="24"/>
          <w:szCs w:val="22"/>
        </w:rPr>
        <w:t>......................................</w:t>
      </w:r>
    </w:p>
    <w:sectPr w:rsidR="009A4A04" w:rsidRPr="005B4919"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D1B23" w16cex:dateUtc="2024-07-23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0E6926F"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7"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7hng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ROB1J/shW5kEcSYhouwEvMEd4Pjv+rzMaa&#10;c70tgTqD3jaZZj2urD+2L4YWywjoZDzF1gzJHRrqPwT0CVV/wa63aBVk6+l6GvtxlKz9OFit/Plm&#10;GfvJJkwnq/FquVzdbFHsAu5sBwx4L62sPFf0uYLUBn99s7gYdrEvrBvnTXFJnf85gP+cD+a4Pfan&#10;QgDUeWfeEMNyI0oBBg4aAo74AzKyMI5PyACCwnGsR0ZvccjoLQMyDIAV6fF+YOBBD07LmPH+ZG+P&#10;45fPCJjz/4+H3wE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MB/O4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abstractNum w:abstractNumId="0" w15:restartNumberingAfterBreak="0">
    <w:nsid w:val="01512073"/>
    <w:multiLevelType w:val="hybridMultilevel"/>
    <w:tmpl w:val="0338E60C"/>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E3EF1"/>
    <w:multiLevelType w:val="hybridMultilevel"/>
    <w:tmpl w:val="A6C8BCEC"/>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5985083"/>
    <w:multiLevelType w:val="hybridMultilevel"/>
    <w:tmpl w:val="144E676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E0EF6"/>
    <w:multiLevelType w:val="hybridMultilevel"/>
    <w:tmpl w:val="2F26551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44FC0"/>
    <w:multiLevelType w:val="hybridMultilevel"/>
    <w:tmpl w:val="7A383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47441"/>
    <w:multiLevelType w:val="hybridMultilevel"/>
    <w:tmpl w:val="45C2804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A5350"/>
    <w:multiLevelType w:val="hybridMultilevel"/>
    <w:tmpl w:val="ADF650A6"/>
    <w:lvl w:ilvl="0" w:tplc="040C000B">
      <w:start w:val="1"/>
      <w:numFmt w:val="bullet"/>
      <w:lvlText w:val=""/>
      <w:lvlJc w:val="left"/>
      <w:pPr>
        <w:ind w:left="644"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D1625"/>
    <w:multiLevelType w:val="hybridMultilevel"/>
    <w:tmpl w:val="9C8C4BA2"/>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027BE"/>
    <w:multiLevelType w:val="hybridMultilevel"/>
    <w:tmpl w:val="D192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AB2C95"/>
    <w:multiLevelType w:val="hybridMultilevel"/>
    <w:tmpl w:val="2BFA890E"/>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A891419"/>
    <w:multiLevelType w:val="hybridMultilevel"/>
    <w:tmpl w:val="5B6CB65A"/>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2E1D63"/>
    <w:multiLevelType w:val="hybridMultilevel"/>
    <w:tmpl w:val="F41C675E"/>
    <w:lvl w:ilvl="0" w:tplc="903E161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C0793D"/>
    <w:multiLevelType w:val="hybridMultilevel"/>
    <w:tmpl w:val="D7CC3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045DAF"/>
    <w:multiLevelType w:val="hybridMultilevel"/>
    <w:tmpl w:val="2B1C379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0"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962461"/>
    <w:multiLevelType w:val="hybridMultilevel"/>
    <w:tmpl w:val="8FCE63E4"/>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0E13BD"/>
    <w:multiLevelType w:val="hybridMultilevel"/>
    <w:tmpl w:val="9FDE87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646766"/>
    <w:multiLevelType w:val="hybridMultilevel"/>
    <w:tmpl w:val="17242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BA08C7"/>
    <w:multiLevelType w:val="hybridMultilevel"/>
    <w:tmpl w:val="BF325FA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CC3E59"/>
    <w:multiLevelType w:val="hybridMultilevel"/>
    <w:tmpl w:val="2CB0D64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2"/>
  </w:num>
  <w:num w:numId="4">
    <w:abstractNumId w:val="28"/>
  </w:num>
  <w:num w:numId="5">
    <w:abstractNumId w:val="45"/>
  </w:num>
  <w:num w:numId="6">
    <w:abstractNumId w:val="9"/>
  </w:num>
  <w:num w:numId="7">
    <w:abstractNumId w:val="6"/>
  </w:num>
  <w:num w:numId="8">
    <w:abstractNumId w:val="39"/>
  </w:num>
  <w:num w:numId="9">
    <w:abstractNumId w:val="32"/>
  </w:num>
  <w:num w:numId="10">
    <w:abstractNumId w:val="34"/>
  </w:num>
  <w:num w:numId="11">
    <w:abstractNumId w:val="16"/>
  </w:num>
  <w:num w:numId="12">
    <w:abstractNumId w:val="20"/>
  </w:num>
  <w:num w:numId="13">
    <w:abstractNumId w:val="23"/>
  </w:num>
  <w:num w:numId="14">
    <w:abstractNumId w:val="25"/>
  </w:num>
  <w:num w:numId="15">
    <w:abstractNumId w:val="17"/>
  </w:num>
  <w:num w:numId="16">
    <w:abstractNumId w:val="22"/>
  </w:num>
  <w:num w:numId="17">
    <w:abstractNumId w:val="41"/>
  </w:num>
  <w:num w:numId="18">
    <w:abstractNumId w:val="13"/>
  </w:num>
  <w:num w:numId="19">
    <w:abstractNumId w:val="37"/>
  </w:num>
  <w:num w:numId="20">
    <w:abstractNumId w:val="33"/>
  </w:num>
  <w:num w:numId="21">
    <w:abstractNumId w:val="31"/>
  </w:num>
  <w:num w:numId="22">
    <w:abstractNumId w:val="24"/>
  </w:num>
  <w:num w:numId="23">
    <w:abstractNumId w:val="11"/>
  </w:num>
  <w:num w:numId="24">
    <w:abstractNumId w:val="36"/>
  </w:num>
  <w:num w:numId="25">
    <w:abstractNumId w:val="47"/>
  </w:num>
  <w:num w:numId="26">
    <w:abstractNumId w:val="26"/>
  </w:num>
  <w:num w:numId="27">
    <w:abstractNumId w:val="29"/>
  </w:num>
  <w:num w:numId="28">
    <w:abstractNumId w:val="18"/>
  </w:num>
  <w:num w:numId="29">
    <w:abstractNumId w:val="3"/>
  </w:num>
  <w:num w:numId="30">
    <w:abstractNumId w:val="15"/>
  </w:num>
  <w:num w:numId="31">
    <w:abstractNumId w:val="4"/>
  </w:num>
  <w:num w:numId="32">
    <w:abstractNumId w:val="43"/>
  </w:num>
  <w:num w:numId="33">
    <w:abstractNumId w:val="10"/>
  </w:num>
  <w:num w:numId="34">
    <w:abstractNumId w:val="7"/>
  </w:num>
  <w:num w:numId="35">
    <w:abstractNumId w:val="1"/>
  </w:num>
  <w:num w:numId="36">
    <w:abstractNumId w:val="42"/>
  </w:num>
  <w:num w:numId="37">
    <w:abstractNumId w:val="27"/>
  </w:num>
  <w:num w:numId="38">
    <w:abstractNumId w:val="38"/>
  </w:num>
  <w:num w:numId="39">
    <w:abstractNumId w:val="21"/>
  </w:num>
  <w:num w:numId="40">
    <w:abstractNumId w:val="5"/>
  </w:num>
  <w:num w:numId="41">
    <w:abstractNumId w:val="14"/>
  </w:num>
  <w:num w:numId="42">
    <w:abstractNumId w:val="44"/>
  </w:num>
  <w:num w:numId="43">
    <w:abstractNumId w:val="40"/>
  </w:num>
  <w:num w:numId="44">
    <w:abstractNumId w:val="30"/>
  </w:num>
  <w:num w:numId="45">
    <w:abstractNumId w:val="19"/>
  </w:num>
  <w:num w:numId="46">
    <w:abstractNumId w:val="8"/>
  </w:num>
  <w:num w:numId="47">
    <w:abstractNumId w:val="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1CF5"/>
    <w:rsid w:val="0000568F"/>
    <w:rsid w:val="00005EA4"/>
    <w:rsid w:val="00007DF6"/>
    <w:rsid w:val="0001156C"/>
    <w:rsid w:val="000135BC"/>
    <w:rsid w:val="00022BF5"/>
    <w:rsid w:val="00023415"/>
    <w:rsid w:val="00024D20"/>
    <w:rsid w:val="00033BFD"/>
    <w:rsid w:val="0004753D"/>
    <w:rsid w:val="000523EB"/>
    <w:rsid w:val="00053DC1"/>
    <w:rsid w:val="000540A5"/>
    <w:rsid w:val="00056F38"/>
    <w:rsid w:val="000617BC"/>
    <w:rsid w:val="00061B4E"/>
    <w:rsid w:val="00066DDD"/>
    <w:rsid w:val="00067113"/>
    <w:rsid w:val="000672A8"/>
    <w:rsid w:val="00067E2C"/>
    <w:rsid w:val="0007072D"/>
    <w:rsid w:val="00070C5D"/>
    <w:rsid w:val="00081F9A"/>
    <w:rsid w:val="000826FB"/>
    <w:rsid w:val="000915D7"/>
    <w:rsid w:val="000A7316"/>
    <w:rsid w:val="000B4D57"/>
    <w:rsid w:val="000C5ECA"/>
    <w:rsid w:val="000C60CF"/>
    <w:rsid w:val="000D1E61"/>
    <w:rsid w:val="000D41B3"/>
    <w:rsid w:val="000D66FB"/>
    <w:rsid w:val="000D6847"/>
    <w:rsid w:val="000E0148"/>
    <w:rsid w:val="000E0521"/>
    <w:rsid w:val="000E145B"/>
    <w:rsid w:val="000E240C"/>
    <w:rsid w:val="000E39F8"/>
    <w:rsid w:val="000E7A9B"/>
    <w:rsid w:val="000E7DFC"/>
    <w:rsid w:val="000F19D6"/>
    <w:rsid w:val="00101B14"/>
    <w:rsid w:val="00104900"/>
    <w:rsid w:val="00112575"/>
    <w:rsid w:val="00112BDD"/>
    <w:rsid w:val="001130DF"/>
    <w:rsid w:val="00120FA4"/>
    <w:rsid w:val="00121C1D"/>
    <w:rsid w:val="0012378C"/>
    <w:rsid w:val="00125E5F"/>
    <w:rsid w:val="001305E8"/>
    <w:rsid w:val="001313EE"/>
    <w:rsid w:val="0014085B"/>
    <w:rsid w:val="00156684"/>
    <w:rsid w:val="00156BC9"/>
    <w:rsid w:val="00156EFD"/>
    <w:rsid w:val="0016342B"/>
    <w:rsid w:val="001650B4"/>
    <w:rsid w:val="00187ABA"/>
    <w:rsid w:val="001921C3"/>
    <w:rsid w:val="001A2B9B"/>
    <w:rsid w:val="001A33F8"/>
    <w:rsid w:val="001A5AC5"/>
    <w:rsid w:val="001B1638"/>
    <w:rsid w:val="001B3233"/>
    <w:rsid w:val="001C7386"/>
    <w:rsid w:val="001D1CA5"/>
    <w:rsid w:val="001F1E65"/>
    <w:rsid w:val="001F56A2"/>
    <w:rsid w:val="00200EA8"/>
    <w:rsid w:val="002118EC"/>
    <w:rsid w:val="00224400"/>
    <w:rsid w:val="00226753"/>
    <w:rsid w:val="00230A2F"/>
    <w:rsid w:val="00234D3A"/>
    <w:rsid w:val="002355F9"/>
    <w:rsid w:val="0023664E"/>
    <w:rsid w:val="0024452C"/>
    <w:rsid w:val="0024511D"/>
    <w:rsid w:val="002670C7"/>
    <w:rsid w:val="0027021D"/>
    <w:rsid w:val="0027271A"/>
    <w:rsid w:val="00273D60"/>
    <w:rsid w:val="0027703E"/>
    <w:rsid w:val="00295234"/>
    <w:rsid w:val="002A2065"/>
    <w:rsid w:val="002A2ECC"/>
    <w:rsid w:val="002A397B"/>
    <w:rsid w:val="002A5942"/>
    <w:rsid w:val="002A7B6F"/>
    <w:rsid w:val="002C2864"/>
    <w:rsid w:val="002C30ED"/>
    <w:rsid w:val="002C4828"/>
    <w:rsid w:val="002C66F5"/>
    <w:rsid w:val="002D0DD8"/>
    <w:rsid w:val="002D0FA5"/>
    <w:rsid w:val="002D174B"/>
    <w:rsid w:val="002D741F"/>
    <w:rsid w:val="002E69C2"/>
    <w:rsid w:val="002E7D34"/>
    <w:rsid w:val="002F14DB"/>
    <w:rsid w:val="002F5DCB"/>
    <w:rsid w:val="002F69CC"/>
    <w:rsid w:val="00300A93"/>
    <w:rsid w:val="00300E86"/>
    <w:rsid w:val="003016DB"/>
    <w:rsid w:val="0030239B"/>
    <w:rsid w:val="003035E2"/>
    <w:rsid w:val="00306665"/>
    <w:rsid w:val="00312FD3"/>
    <w:rsid w:val="00313327"/>
    <w:rsid w:val="0031578F"/>
    <w:rsid w:val="00316450"/>
    <w:rsid w:val="00316EB6"/>
    <w:rsid w:val="00317335"/>
    <w:rsid w:val="00317724"/>
    <w:rsid w:val="003203E4"/>
    <w:rsid w:val="00321B4C"/>
    <w:rsid w:val="003248BE"/>
    <w:rsid w:val="003259A8"/>
    <w:rsid w:val="0033110C"/>
    <w:rsid w:val="00347E9F"/>
    <w:rsid w:val="0035019F"/>
    <w:rsid w:val="003562D4"/>
    <w:rsid w:val="003605F8"/>
    <w:rsid w:val="00363A20"/>
    <w:rsid w:val="0037184B"/>
    <w:rsid w:val="003738F4"/>
    <w:rsid w:val="0037634F"/>
    <w:rsid w:val="003859D4"/>
    <w:rsid w:val="00386814"/>
    <w:rsid w:val="00394E0E"/>
    <w:rsid w:val="003A0E0F"/>
    <w:rsid w:val="003A3073"/>
    <w:rsid w:val="003A4757"/>
    <w:rsid w:val="003A4CF2"/>
    <w:rsid w:val="003B0083"/>
    <w:rsid w:val="003B23C9"/>
    <w:rsid w:val="003B427A"/>
    <w:rsid w:val="003C28C8"/>
    <w:rsid w:val="003C45F6"/>
    <w:rsid w:val="003D1BC0"/>
    <w:rsid w:val="003D427B"/>
    <w:rsid w:val="003E04AF"/>
    <w:rsid w:val="003F1727"/>
    <w:rsid w:val="003F201A"/>
    <w:rsid w:val="003F3694"/>
    <w:rsid w:val="003F541E"/>
    <w:rsid w:val="00401B1B"/>
    <w:rsid w:val="00405868"/>
    <w:rsid w:val="00414265"/>
    <w:rsid w:val="004268E6"/>
    <w:rsid w:val="00435E08"/>
    <w:rsid w:val="00440D67"/>
    <w:rsid w:val="004449C1"/>
    <w:rsid w:val="004546AF"/>
    <w:rsid w:val="00454E48"/>
    <w:rsid w:val="0045680A"/>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4920"/>
    <w:rsid w:val="004B6AAD"/>
    <w:rsid w:val="004C0643"/>
    <w:rsid w:val="004C1820"/>
    <w:rsid w:val="004C201F"/>
    <w:rsid w:val="004C6047"/>
    <w:rsid w:val="004C6127"/>
    <w:rsid w:val="004E5C2D"/>
    <w:rsid w:val="004E612D"/>
    <w:rsid w:val="004F4139"/>
    <w:rsid w:val="00506FF3"/>
    <w:rsid w:val="005113C4"/>
    <w:rsid w:val="0051242B"/>
    <w:rsid w:val="0051280B"/>
    <w:rsid w:val="005210E4"/>
    <w:rsid w:val="0052585B"/>
    <w:rsid w:val="00526926"/>
    <w:rsid w:val="00526CDA"/>
    <w:rsid w:val="0052736D"/>
    <w:rsid w:val="00537606"/>
    <w:rsid w:val="00540020"/>
    <w:rsid w:val="0054075C"/>
    <w:rsid w:val="00540824"/>
    <w:rsid w:val="00543BB9"/>
    <w:rsid w:val="00544952"/>
    <w:rsid w:val="005479E4"/>
    <w:rsid w:val="005517EC"/>
    <w:rsid w:val="00551D56"/>
    <w:rsid w:val="0055409D"/>
    <w:rsid w:val="00554DC3"/>
    <w:rsid w:val="0055551E"/>
    <w:rsid w:val="00560E80"/>
    <w:rsid w:val="005651B5"/>
    <w:rsid w:val="005656EE"/>
    <w:rsid w:val="00570E90"/>
    <w:rsid w:val="00576FF2"/>
    <w:rsid w:val="005847B0"/>
    <w:rsid w:val="0058505E"/>
    <w:rsid w:val="00585FD9"/>
    <w:rsid w:val="00590362"/>
    <w:rsid w:val="00593D8C"/>
    <w:rsid w:val="005A0DEC"/>
    <w:rsid w:val="005A4B20"/>
    <w:rsid w:val="005A4DB4"/>
    <w:rsid w:val="005B1502"/>
    <w:rsid w:val="005B4919"/>
    <w:rsid w:val="005B6050"/>
    <w:rsid w:val="005B75CF"/>
    <w:rsid w:val="005C184F"/>
    <w:rsid w:val="005C27D3"/>
    <w:rsid w:val="005D0436"/>
    <w:rsid w:val="005D07B8"/>
    <w:rsid w:val="005D0A2B"/>
    <w:rsid w:val="005D3424"/>
    <w:rsid w:val="005D420F"/>
    <w:rsid w:val="005D43E9"/>
    <w:rsid w:val="005D4EC8"/>
    <w:rsid w:val="005E2C0F"/>
    <w:rsid w:val="005E5DFB"/>
    <w:rsid w:val="005E6009"/>
    <w:rsid w:val="005F20AC"/>
    <w:rsid w:val="005F2619"/>
    <w:rsid w:val="005F2AE3"/>
    <w:rsid w:val="005F570E"/>
    <w:rsid w:val="006050F7"/>
    <w:rsid w:val="00606515"/>
    <w:rsid w:val="00610F8E"/>
    <w:rsid w:val="006154B9"/>
    <w:rsid w:val="00616443"/>
    <w:rsid w:val="0061745C"/>
    <w:rsid w:val="006229F6"/>
    <w:rsid w:val="00624C14"/>
    <w:rsid w:val="00625E80"/>
    <w:rsid w:val="006306CA"/>
    <w:rsid w:val="00633073"/>
    <w:rsid w:val="00634677"/>
    <w:rsid w:val="00636931"/>
    <w:rsid w:val="0064160B"/>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2FB"/>
    <w:rsid w:val="006C56E5"/>
    <w:rsid w:val="006C5717"/>
    <w:rsid w:val="006D0055"/>
    <w:rsid w:val="006D1F69"/>
    <w:rsid w:val="006D3A1F"/>
    <w:rsid w:val="006E00EE"/>
    <w:rsid w:val="006E37DC"/>
    <w:rsid w:val="006E598B"/>
    <w:rsid w:val="006F5128"/>
    <w:rsid w:val="006F548E"/>
    <w:rsid w:val="006F7994"/>
    <w:rsid w:val="00711A70"/>
    <w:rsid w:val="0071220E"/>
    <w:rsid w:val="007176AF"/>
    <w:rsid w:val="00722810"/>
    <w:rsid w:val="00724830"/>
    <w:rsid w:val="00731877"/>
    <w:rsid w:val="00731B13"/>
    <w:rsid w:val="00731D6B"/>
    <w:rsid w:val="00735187"/>
    <w:rsid w:val="00741FDC"/>
    <w:rsid w:val="00742F62"/>
    <w:rsid w:val="00743313"/>
    <w:rsid w:val="00744B1D"/>
    <w:rsid w:val="0075618E"/>
    <w:rsid w:val="00764B27"/>
    <w:rsid w:val="00781D0D"/>
    <w:rsid w:val="0078478F"/>
    <w:rsid w:val="00785733"/>
    <w:rsid w:val="00797800"/>
    <w:rsid w:val="007A013C"/>
    <w:rsid w:val="007A0F13"/>
    <w:rsid w:val="007A22A6"/>
    <w:rsid w:val="007A784B"/>
    <w:rsid w:val="007B4C69"/>
    <w:rsid w:val="007C13B6"/>
    <w:rsid w:val="007C3E78"/>
    <w:rsid w:val="007D0772"/>
    <w:rsid w:val="007D55E7"/>
    <w:rsid w:val="007E17A4"/>
    <w:rsid w:val="007E4093"/>
    <w:rsid w:val="007E5714"/>
    <w:rsid w:val="007E613B"/>
    <w:rsid w:val="007E7807"/>
    <w:rsid w:val="007F04A7"/>
    <w:rsid w:val="007F419D"/>
    <w:rsid w:val="007F4C20"/>
    <w:rsid w:val="00800047"/>
    <w:rsid w:val="008000C7"/>
    <w:rsid w:val="00800A22"/>
    <w:rsid w:val="008165F5"/>
    <w:rsid w:val="00823B4A"/>
    <w:rsid w:val="00833FAA"/>
    <w:rsid w:val="00834E4E"/>
    <w:rsid w:val="008350B3"/>
    <w:rsid w:val="0083559E"/>
    <w:rsid w:val="008357EE"/>
    <w:rsid w:val="00842982"/>
    <w:rsid w:val="00842B3D"/>
    <w:rsid w:val="00843221"/>
    <w:rsid w:val="0084412C"/>
    <w:rsid w:val="0085220D"/>
    <w:rsid w:val="00852558"/>
    <w:rsid w:val="00865397"/>
    <w:rsid w:val="0087121F"/>
    <w:rsid w:val="00872E24"/>
    <w:rsid w:val="008733BE"/>
    <w:rsid w:val="00875A1A"/>
    <w:rsid w:val="0088254C"/>
    <w:rsid w:val="00885845"/>
    <w:rsid w:val="00892223"/>
    <w:rsid w:val="0089368B"/>
    <w:rsid w:val="00895F26"/>
    <w:rsid w:val="008976BF"/>
    <w:rsid w:val="008A1380"/>
    <w:rsid w:val="008A42C3"/>
    <w:rsid w:val="008B0081"/>
    <w:rsid w:val="008B01C8"/>
    <w:rsid w:val="008B736F"/>
    <w:rsid w:val="008C38CA"/>
    <w:rsid w:val="008C6DCE"/>
    <w:rsid w:val="008D2311"/>
    <w:rsid w:val="008D3DDF"/>
    <w:rsid w:val="008D4406"/>
    <w:rsid w:val="008E041A"/>
    <w:rsid w:val="008E0864"/>
    <w:rsid w:val="008F12F9"/>
    <w:rsid w:val="008F3020"/>
    <w:rsid w:val="008F6C3D"/>
    <w:rsid w:val="00900EDB"/>
    <w:rsid w:val="00904884"/>
    <w:rsid w:val="0090562E"/>
    <w:rsid w:val="00914A3F"/>
    <w:rsid w:val="0092089C"/>
    <w:rsid w:val="00921494"/>
    <w:rsid w:val="00922079"/>
    <w:rsid w:val="00923DFF"/>
    <w:rsid w:val="0092457E"/>
    <w:rsid w:val="009255EF"/>
    <w:rsid w:val="009270D3"/>
    <w:rsid w:val="009340C8"/>
    <w:rsid w:val="00934207"/>
    <w:rsid w:val="009350DE"/>
    <w:rsid w:val="0093575D"/>
    <w:rsid w:val="00937908"/>
    <w:rsid w:val="00950776"/>
    <w:rsid w:val="009545EE"/>
    <w:rsid w:val="00960606"/>
    <w:rsid w:val="00961093"/>
    <w:rsid w:val="009629B2"/>
    <w:rsid w:val="009864FE"/>
    <w:rsid w:val="00994719"/>
    <w:rsid w:val="009A4A04"/>
    <w:rsid w:val="009B436A"/>
    <w:rsid w:val="009C0506"/>
    <w:rsid w:val="009C1BC5"/>
    <w:rsid w:val="009C31CB"/>
    <w:rsid w:val="009C4066"/>
    <w:rsid w:val="009D1A9E"/>
    <w:rsid w:val="009D284A"/>
    <w:rsid w:val="009D4A09"/>
    <w:rsid w:val="009D56A5"/>
    <w:rsid w:val="009D6B9A"/>
    <w:rsid w:val="009D75DA"/>
    <w:rsid w:val="009F6243"/>
    <w:rsid w:val="009F77D2"/>
    <w:rsid w:val="00A10606"/>
    <w:rsid w:val="00A1468E"/>
    <w:rsid w:val="00A215FD"/>
    <w:rsid w:val="00A24B37"/>
    <w:rsid w:val="00A26C03"/>
    <w:rsid w:val="00A325EE"/>
    <w:rsid w:val="00A337C2"/>
    <w:rsid w:val="00A37282"/>
    <w:rsid w:val="00A40007"/>
    <w:rsid w:val="00A41580"/>
    <w:rsid w:val="00A424B4"/>
    <w:rsid w:val="00A431D7"/>
    <w:rsid w:val="00A448C7"/>
    <w:rsid w:val="00A51CE4"/>
    <w:rsid w:val="00A55DB8"/>
    <w:rsid w:val="00A60B25"/>
    <w:rsid w:val="00A64509"/>
    <w:rsid w:val="00A74A0D"/>
    <w:rsid w:val="00A74E09"/>
    <w:rsid w:val="00A82D77"/>
    <w:rsid w:val="00A84980"/>
    <w:rsid w:val="00A924F9"/>
    <w:rsid w:val="00A937FE"/>
    <w:rsid w:val="00AA2380"/>
    <w:rsid w:val="00AA275B"/>
    <w:rsid w:val="00AA3397"/>
    <w:rsid w:val="00AA7789"/>
    <w:rsid w:val="00AB0E99"/>
    <w:rsid w:val="00AB10EC"/>
    <w:rsid w:val="00AB1E9D"/>
    <w:rsid w:val="00AB2ABF"/>
    <w:rsid w:val="00AB59F9"/>
    <w:rsid w:val="00AC14A1"/>
    <w:rsid w:val="00AC1505"/>
    <w:rsid w:val="00AC681E"/>
    <w:rsid w:val="00AC7C66"/>
    <w:rsid w:val="00AD105A"/>
    <w:rsid w:val="00AD34DF"/>
    <w:rsid w:val="00AD7E6C"/>
    <w:rsid w:val="00AE0766"/>
    <w:rsid w:val="00AF1999"/>
    <w:rsid w:val="00AF71DD"/>
    <w:rsid w:val="00B0585E"/>
    <w:rsid w:val="00B10CD8"/>
    <w:rsid w:val="00B13FC8"/>
    <w:rsid w:val="00B166FB"/>
    <w:rsid w:val="00B25A2E"/>
    <w:rsid w:val="00B30716"/>
    <w:rsid w:val="00B3199F"/>
    <w:rsid w:val="00B37256"/>
    <w:rsid w:val="00B408C9"/>
    <w:rsid w:val="00B57986"/>
    <w:rsid w:val="00B62B32"/>
    <w:rsid w:val="00B651AC"/>
    <w:rsid w:val="00B719B5"/>
    <w:rsid w:val="00B7250E"/>
    <w:rsid w:val="00B72A6E"/>
    <w:rsid w:val="00B779B3"/>
    <w:rsid w:val="00B806D5"/>
    <w:rsid w:val="00B81B45"/>
    <w:rsid w:val="00B81D41"/>
    <w:rsid w:val="00B84344"/>
    <w:rsid w:val="00B84654"/>
    <w:rsid w:val="00B859D1"/>
    <w:rsid w:val="00B85D06"/>
    <w:rsid w:val="00B91877"/>
    <w:rsid w:val="00B9411F"/>
    <w:rsid w:val="00B9549A"/>
    <w:rsid w:val="00BA2F59"/>
    <w:rsid w:val="00BA32B7"/>
    <w:rsid w:val="00BA7CFE"/>
    <w:rsid w:val="00BB0041"/>
    <w:rsid w:val="00BB378E"/>
    <w:rsid w:val="00BC60A8"/>
    <w:rsid w:val="00BD6387"/>
    <w:rsid w:val="00BE0012"/>
    <w:rsid w:val="00BE2499"/>
    <w:rsid w:val="00BE6C7B"/>
    <w:rsid w:val="00BF5D1E"/>
    <w:rsid w:val="00C00BA0"/>
    <w:rsid w:val="00C102DE"/>
    <w:rsid w:val="00C12D6A"/>
    <w:rsid w:val="00C139E8"/>
    <w:rsid w:val="00C15F06"/>
    <w:rsid w:val="00C16C59"/>
    <w:rsid w:val="00C257E3"/>
    <w:rsid w:val="00C3591C"/>
    <w:rsid w:val="00C366F1"/>
    <w:rsid w:val="00C43178"/>
    <w:rsid w:val="00C50E34"/>
    <w:rsid w:val="00C525EC"/>
    <w:rsid w:val="00C62977"/>
    <w:rsid w:val="00C74017"/>
    <w:rsid w:val="00C742BF"/>
    <w:rsid w:val="00C758FF"/>
    <w:rsid w:val="00C77232"/>
    <w:rsid w:val="00C776C3"/>
    <w:rsid w:val="00C77EB9"/>
    <w:rsid w:val="00C822AF"/>
    <w:rsid w:val="00C82B24"/>
    <w:rsid w:val="00C83026"/>
    <w:rsid w:val="00C84EAF"/>
    <w:rsid w:val="00C90BA4"/>
    <w:rsid w:val="00C90F4C"/>
    <w:rsid w:val="00C92CD8"/>
    <w:rsid w:val="00CA0F9D"/>
    <w:rsid w:val="00CA27FF"/>
    <w:rsid w:val="00CB0411"/>
    <w:rsid w:val="00CB1AED"/>
    <w:rsid w:val="00CB28C3"/>
    <w:rsid w:val="00CB3AF3"/>
    <w:rsid w:val="00CC1466"/>
    <w:rsid w:val="00CD1B3E"/>
    <w:rsid w:val="00CD314E"/>
    <w:rsid w:val="00CF1532"/>
    <w:rsid w:val="00CF54F8"/>
    <w:rsid w:val="00D15D66"/>
    <w:rsid w:val="00D352A5"/>
    <w:rsid w:val="00D35993"/>
    <w:rsid w:val="00D41CAA"/>
    <w:rsid w:val="00D44124"/>
    <w:rsid w:val="00D54E63"/>
    <w:rsid w:val="00D562F8"/>
    <w:rsid w:val="00D6002B"/>
    <w:rsid w:val="00D60D81"/>
    <w:rsid w:val="00D61E66"/>
    <w:rsid w:val="00D62B9C"/>
    <w:rsid w:val="00D642AD"/>
    <w:rsid w:val="00D651B7"/>
    <w:rsid w:val="00D701AE"/>
    <w:rsid w:val="00D719FD"/>
    <w:rsid w:val="00D75759"/>
    <w:rsid w:val="00D76268"/>
    <w:rsid w:val="00D77996"/>
    <w:rsid w:val="00D85EED"/>
    <w:rsid w:val="00DA0E99"/>
    <w:rsid w:val="00DA65FD"/>
    <w:rsid w:val="00DA66D2"/>
    <w:rsid w:val="00DA7498"/>
    <w:rsid w:val="00DB3084"/>
    <w:rsid w:val="00DB5329"/>
    <w:rsid w:val="00DB5507"/>
    <w:rsid w:val="00DC031A"/>
    <w:rsid w:val="00DC3775"/>
    <w:rsid w:val="00DC42A1"/>
    <w:rsid w:val="00DD2FEE"/>
    <w:rsid w:val="00DD637E"/>
    <w:rsid w:val="00DD6EA9"/>
    <w:rsid w:val="00DD7673"/>
    <w:rsid w:val="00DE0206"/>
    <w:rsid w:val="00DE0EF3"/>
    <w:rsid w:val="00DE12AC"/>
    <w:rsid w:val="00DE3851"/>
    <w:rsid w:val="00DE4178"/>
    <w:rsid w:val="00DF0474"/>
    <w:rsid w:val="00DF7665"/>
    <w:rsid w:val="00E00428"/>
    <w:rsid w:val="00E040E4"/>
    <w:rsid w:val="00E042B0"/>
    <w:rsid w:val="00E063F9"/>
    <w:rsid w:val="00E104AA"/>
    <w:rsid w:val="00E16CC2"/>
    <w:rsid w:val="00E25035"/>
    <w:rsid w:val="00E27274"/>
    <w:rsid w:val="00E27747"/>
    <w:rsid w:val="00E33830"/>
    <w:rsid w:val="00E43984"/>
    <w:rsid w:val="00E45463"/>
    <w:rsid w:val="00E53CAC"/>
    <w:rsid w:val="00E6352D"/>
    <w:rsid w:val="00E70603"/>
    <w:rsid w:val="00E70892"/>
    <w:rsid w:val="00E72FD3"/>
    <w:rsid w:val="00E748E8"/>
    <w:rsid w:val="00E7507F"/>
    <w:rsid w:val="00E75959"/>
    <w:rsid w:val="00E84F67"/>
    <w:rsid w:val="00E91E94"/>
    <w:rsid w:val="00E962DA"/>
    <w:rsid w:val="00EA123E"/>
    <w:rsid w:val="00EA4CE8"/>
    <w:rsid w:val="00EA6796"/>
    <w:rsid w:val="00EB4DAD"/>
    <w:rsid w:val="00EC0E3E"/>
    <w:rsid w:val="00ED117C"/>
    <w:rsid w:val="00ED168D"/>
    <w:rsid w:val="00ED430A"/>
    <w:rsid w:val="00EE2864"/>
    <w:rsid w:val="00EE3A81"/>
    <w:rsid w:val="00EE44F7"/>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6C9"/>
    <w:rsid w:val="00FA4290"/>
    <w:rsid w:val="00FA4911"/>
    <w:rsid w:val="00FA51EB"/>
    <w:rsid w:val="00FB2FE7"/>
    <w:rsid w:val="00FB68F6"/>
    <w:rsid w:val="00FC12EF"/>
    <w:rsid w:val="00FD07CB"/>
    <w:rsid w:val="00FD2C4E"/>
    <w:rsid w:val="00FD4DC7"/>
    <w:rsid w:val="00FE432C"/>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2B"/>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20691382">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cac6c717-0427-41df-8cbf-34a1150a5cf1"/>
    <ds:schemaRef ds:uri="http://purl.org/dc/elements/1.1/"/>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EED6F-EA88-4170-BE7F-4F81FE3B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Pages>
  <Words>1461</Words>
  <Characters>8040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118</cp:revision>
  <cp:lastPrinted>2019-02-22T10:27:00Z</cp:lastPrinted>
  <dcterms:created xsi:type="dcterms:W3CDTF">2021-12-14T09:52:00Z</dcterms:created>
  <dcterms:modified xsi:type="dcterms:W3CDTF">2024-10-10T06:21:00Z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